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203中国共产党沧州市委员会统战部</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1238.82</w:t>
            </w:r>
          </w:p>
        </w:tc>
        <w:tc>
          <w:tcPr>
            <w:tcW w:w="4535" w:type="dxa"/>
            <w:vAlign w:val="center"/>
          </w:tcPr>
          <w:p>
            <w:pPr>
              <w:pStyle w:val="12"/>
            </w:pPr>
            <w:r>
              <w:t>一、一般公共服务支出</w:t>
            </w:r>
          </w:p>
        </w:tc>
        <w:tc>
          <w:tcPr>
            <w:tcW w:w="2126" w:type="dxa"/>
            <w:vAlign w:val="center"/>
          </w:tcPr>
          <w:p>
            <w:pPr>
              <w:pStyle w:val="11"/>
            </w:pPr>
            <w:r>
              <w:t>1238.82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1238.82</w:t>
            </w:r>
          </w:p>
        </w:tc>
        <w:tc>
          <w:tcPr>
            <w:tcW w:w="4535" w:type="dxa"/>
            <w:vAlign w:val="center"/>
          </w:tcPr>
          <w:p>
            <w:pPr>
              <w:pStyle w:val="14"/>
            </w:pPr>
            <w:r>
              <w:t>本年支出合计</w:t>
            </w:r>
          </w:p>
        </w:tc>
        <w:tc>
          <w:tcPr>
            <w:tcW w:w="2126" w:type="dxa"/>
            <w:vAlign w:val="center"/>
          </w:tcPr>
          <w:p>
            <w:pPr>
              <w:pStyle w:val="15"/>
            </w:pPr>
            <w:r>
              <w:t>1238.82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1238.82</w:t>
            </w:r>
          </w:p>
        </w:tc>
        <w:tc>
          <w:tcPr>
            <w:tcW w:w="4535" w:type="dxa"/>
            <w:vAlign w:val="center"/>
          </w:tcPr>
          <w:p>
            <w:pPr>
              <w:pStyle w:val="14"/>
            </w:pPr>
            <w:r>
              <w:t>支出总计</w:t>
            </w:r>
          </w:p>
        </w:tc>
        <w:tc>
          <w:tcPr>
            <w:tcW w:w="2126" w:type="dxa"/>
            <w:vAlign w:val="center"/>
          </w:tcPr>
          <w:p>
            <w:pPr>
              <w:pStyle w:val="15"/>
            </w:pPr>
            <w:r>
              <w:t>1238.82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203中国共产党沧州市委员会统战部</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1238.82</w:t>
            </w:r>
          </w:p>
        </w:tc>
        <w:tc>
          <w:tcPr>
            <w:tcW w:w="1134" w:type="dxa"/>
            <w:vAlign w:val="center"/>
          </w:tcPr>
          <w:p>
            <w:pPr>
              <w:pStyle w:val="15"/>
            </w:pPr>
            <w:r>
              <w:t>1238.82</w:t>
            </w:r>
          </w:p>
        </w:tc>
        <w:tc>
          <w:tcPr>
            <w:tcW w:w="1134" w:type="dxa"/>
            <w:vAlign w:val="center"/>
          </w:tcPr>
          <w:p>
            <w:pPr>
              <w:pStyle w:val="15"/>
            </w:pPr>
            <w:r>
              <w:t>1238.82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1238.82</w:t>
            </w:r>
          </w:p>
        </w:tc>
        <w:tc>
          <w:tcPr>
            <w:tcW w:w="1134" w:type="dxa"/>
            <w:vAlign w:val="center"/>
          </w:tcPr>
          <w:p>
            <w:pPr>
              <w:pStyle w:val="11"/>
            </w:pPr>
            <w:r>
              <w:t>1238.82</w:t>
            </w:r>
          </w:p>
        </w:tc>
        <w:tc>
          <w:tcPr>
            <w:tcW w:w="1134" w:type="dxa"/>
            <w:vAlign w:val="center"/>
          </w:tcPr>
          <w:p>
            <w:pPr>
              <w:pStyle w:val="11"/>
            </w:pPr>
            <w:r>
              <w:t>1238.82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20125</w:t>
            </w:r>
          </w:p>
        </w:tc>
        <w:tc>
          <w:tcPr>
            <w:tcW w:w="1559" w:type="dxa"/>
            <w:vAlign w:val="center"/>
          </w:tcPr>
          <w:p>
            <w:pPr>
              <w:pStyle w:val="12"/>
            </w:pPr>
            <w:r>
              <w:t>港澳台事务</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2012505</w:t>
            </w:r>
          </w:p>
        </w:tc>
        <w:tc>
          <w:tcPr>
            <w:tcW w:w="1559" w:type="dxa"/>
            <w:vAlign w:val="center"/>
          </w:tcPr>
          <w:p>
            <w:pPr>
              <w:pStyle w:val="12"/>
            </w:pPr>
            <w:r>
              <w:t>台湾事务</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20134</w:t>
            </w:r>
          </w:p>
        </w:tc>
        <w:tc>
          <w:tcPr>
            <w:tcW w:w="1559" w:type="dxa"/>
            <w:vAlign w:val="center"/>
          </w:tcPr>
          <w:p>
            <w:pPr>
              <w:pStyle w:val="12"/>
            </w:pPr>
            <w:r>
              <w:t>统战事务</w:t>
            </w:r>
          </w:p>
        </w:tc>
        <w:tc>
          <w:tcPr>
            <w:tcW w:w="1134" w:type="dxa"/>
            <w:vAlign w:val="center"/>
          </w:tcPr>
          <w:p>
            <w:pPr>
              <w:pStyle w:val="11"/>
            </w:pPr>
            <w:r>
              <w:t>1218.82</w:t>
            </w:r>
          </w:p>
        </w:tc>
        <w:tc>
          <w:tcPr>
            <w:tcW w:w="1134" w:type="dxa"/>
            <w:vAlign w:val="center"/>
          </w:tcPr>
          <w:p>
            <w:pPr>
              <w:pStyle w:val="11"/>
            </w:pPr>
            <w:r>
              <w:t>1218.82</w:t>
            </w:r>
          </w:p>
        </w:tc>
        <w:tc>
          <w:tcPr>
            <w:tcW w:w="1134" w:type="dxa"/>
            <w:vAlign w:val="center"/>
          </w:tcPr>
          <w:p>
            <w:pPr>
              <w:pStyle w:val="11"/>
            </w:pPr>
            <w:r>
              <w:t>1218.82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2013401</w:t>
            </w:r>
          </w:p>
        </w:tc>
        <w:tc>
          <w:tcPr>
            <w:tcW w:w="1559" w:type="dxa"/>
            <w:vAlign w:val="center"/>
          </w:tcPr>
          <w:p>
            <w:pPr>
              <w:pStyle w:val="12"/>
            </w:pPr>
            <w:r>
              <w:t>行政运行</w:t>
            </w:r>
          </w:p>
        </w:tc>
        <w:tc>
          <w:tcPr>
            <w:tcW w:w="1134" w:type="dxa"/>
            <w:vAlign w:val="center"/>
          </w:tcPr>
          <w:p>
            <w:pPr>
              <w:pStyle w:val="11"/>
            </w:pPr>
            <w:r>
              <w:t>934.92</w:t>
            </w:r>
          </w:p>
        </w:tc>
        <w:tc>
          <w:tcPr>
            <w:tcW w:w="1134" w:type="dxa"/>
            <w:vAlign w:val="center"/>
          </w:tcPr>
          <w:p>
            <w:pPr>
              <w:pStyle w:val="11"/>
            </w:pPr>
            <w:r>
              <w:t>934.92</w:t>
            </w:r>
          </w:p>
        </w:tc>
        <w:tc>
          <w:tcPr>
            <w:tcW w:w="1134" w:type="dxa"/>
            <w:vAlign w:val="center"/>
          </w:tcPr>
          <w:p>
            <w:pPr>
              <w:pStyle w:val="11"/>
            </w:pPr>
            <w:r>
              <w:t>934.92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2013404</w:t>
            </w:r>
          </w:p>
        </w:tc>
        <w:tc>
          <w:tcPr>
            <w:tcW w:w="1559" w:type="dxa"/>
            <w:vAlign w:val="center"/>
          </w:tcPr>
          <w:p>
            <w:pPr>
              <w:pStyle w:val="12"/>
            </w:pPr>
            <w:r>
              <w:t>宗教事务</w:t>
            </w:r>
          </w:p>
        </w:tc>
        <w:tc>
          <w:tcPr>
            <w:tcW w:w="1134" w:type="dxa"/>
            <w:vAlign w:val="center"/>
          </w:tcPr>
          <w:p>
            <w:pPr>
              <w:pStyle w:val="11"/>
            </w:pPr>
            <w:r>
              <w:t>182.00</w:t>
            </w:r>
          </w:p>
        </w:tc>
        <w:tc>
          <w:tcPr>
            <w:tcW w:w="1134" w:type="dxa"/>
            <w:vAlign w:val="center"/>
          </w:tcPr>
          <w:p>
            <w:pPr>
              <w:pStyle w:val="11"/>
            </w:pPr>
            <w:r>
              <w:t>182.00</w:t>
            </w:r>
          </w:p>
        </w:tc>
        <w:tc>
          <w:tcPr>
            <w:tcW w:w="1134" w:type="dxa"/>
            <w:vAlign w:val="center"/>
          </w:tcPr>
          <w:p>
            <w:pPr>
              <w:pStyle w:val="11"/>
            </w:pPr>
            <w:r>
              <w:t>182.00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2013405</w:t>
            </w:r>
          </w:p>
        </w:tc>
        <w:tc>
          <w:tcPr>
            <w:tcW w:w="1559" w:type="dxa"/>
            <w:vAlign w:val="center"/>
          </w:tcPr>
          <w:p>
            <w:pPr>
              <w:pStyle w:val="12"/>
            </w:pPr>
            <w:r>
              <w:t>华侨事务</w:t>
            </w:r>
          </w:p>
        </w:tc>
        <w:tc>
          <w:tcPr>
            <w:tcW w:w="1134" w:type="dxa"/>
            <w:vAlign w:val="center"/>
          </w:tcPr>
          <w:p>
            <w:pPr>
              <w:pStyle w:val="11"/>
            </w:pPr>
            <w:r>
              <w:t>34.90</w:t>
            </w:r>
          </w:p>
        </w:tc>
        <w:tc>
          <w:tcPr>
            <w:tcW w:w="1134" w:type="dxa"/>
            <w:vAlign w:val="center"/>
          </w:tcPr>
          <w:p>
            <w:pPr>
              <w:pStyle w:val="11"/>
            </w:pPr>
            <w:r>
              <w:t>34.90</w:t>
            </w:r>
          </w:p>
        </w:tc>
        <w:tc>
          <w:tcPr>
            <w:tcW w:w="1134" w:type="dxa"/>
            <w:vAlign w:val="center"/>
          </w:tcPr>
          <w:p>
            <w:pPr>
              <w:pStyle w:val="11"/>
            </w:pPr>
            <w:r>
              <w:t>34.90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2013499</w:t>
            </w:r>
          </w:p>
        </w:tc>
        <w:tc>
          <w:tcPr>
            <w:tcW w:w="1559" w:type="dxa"/>
            <w:vAlign w:val="center"/>
          </w:tcPr>
          <w:p>
            <w:pPr>
              <w:pStyle w:val="12"/>
            </w:pPr>
            <w:r>
              <w:t>其他统战事务支出</w:t>
            </w:r>
          </w:p>
        </w:tc>
        <w:tc>
          <w:tcPr>
            <w:tcW w:w="1134" w:type="dxa"/>
            <w:vAlign w:val="center"/>
          </w:tcPr>
          <w:p>
            <w:pPr>
              <w:pStyle w:val="11"/>
            </w:pPr>
            <w:r>
              <w:t>67.00</w:t>
            </w:r>
          </w:p>
        </w:tc>
        <w:tc>
          <w:tcPr>
            <w:tcW w:w="1134" w:type="dxa"/>
            <w:vAlign w:val="center"/>
          </w:tcPr>
          <w:p>
            <w:pPr>
              <w:pStyle w:val="11"/>
            </w:pPr>
            <w:r>
              <w:t>67.00</w:t>
            </w:r>
          </w:p>
        </w:tc>
        <w:tc>
          <w:tcPr>
            <w:tcW w:w="1134" w:type="dxa"/>
            <w:vAlign w:val="center"/>
          </w:tcPr>
          <w:p>
            <w:pPr>
              <w:pStyle w:val="11"/>
            </w:pPr>
            <w:r>
              <w:t>67.00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203中国共产党沧州市委员会统战部</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1238.82</w:t>
            </w:r>
          </w:p>
        </w:tc>
        <w:tc>
          <w:tcPr>
            <w:tcW w:w="1361" w:type="dxa"/>
            <w:vAlign w:val="center"/>
          </w:tcPr>
          <w:p>
            <w:pPr>
              <w:pStyle w:val="15"/>
            </w:pPr>
            <w:r>
              <w:t>934.92</w:t>
            </w:r>
          </w:p>
        </w:tc>
        <w:tc>
          <w:tcPr>
            <w:tcW w:w="1361" w:type="dxa"/>
            <w:vAlign w:val="center"/>
          </w:tcPr>
          <w:p>
            <w:pPr>
              <w:pStyle w:val="15"/>
            </w:pPr>
            <w:r>
              <w:t>303.90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1238.82</w:t>
            </w:r>
          </w:p>
        </w:tc>
        <w:tc>
          <w:tcPr>
            <w:tcW w:w="1361" w:type="dxa"/>
            <w:vAlign w:val="center"/>
          </w:tcPr>
          <w:p>
            <w:pPr>
              <w:pStyle w:val="11"/>
            </w:pPr>
            <w:r>
              <w:t>934.92</w:t>
            </w:r>
          </w:p>
        </w:tc>
        <w:tc>
          <w:tcPr>
            <w:tcW w:w="1361" w:type="dxa"/>
            <w:vAlign w:val="center"/>
          </w:tcPr>
          <w:p>
            <w:pPr>
              <w:pStyle w:val="11"/>
            </w:pPr>
            <w:r>
              <w:t>303.90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20125</w:t>
            </w:r>
          </w:p>
        </w:tc>
        <w:tc>
          <w:tcPr>
            <w:tcW w:w="4535" w:type="dxa"/>
            <w:vAlign w:val="center"/>
          </w:tcPr>
          <w:p>
            <w:pPr>
              <w:pStyle w:val="12"/>
            </w:pPr>
            <w:r>
              <w:t>港澳台事务</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2012505</w:t>
            </w:r>
          </w:p>
        </w:tc>
        <w:tc>
          <w:tcPr>
            <w:tcW w:w="4535" w:type="dxa"/>
            <w:vAlign w:val="center"/>
          </w:tcPr>
          <w:p>
            <w:pPr>
              <w:pStyle w:val="12"/>
            </w:pPr>
            <w:r>
              <w:t>台湾事务</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20134</w:t>
            </w:r>
          </w:p>
        </w:tc>
        <w:tc>
          <w:tcPr>
            <w:tcW w:w="4535" w:type="dxa"/>
            <w:vAlign w:val="center"/>
          </w:tcPr>
          <w:p>
            <w:pPr>
              <w:pStyle w:val="12"/>
            </w:pPr>
            <w:r>
              <w:t>统战事务</w:t>
            </w:r>
          </w:p>
        </w:tc>
        <w:tc>
          <w:tcPr>
            <w:tcW w:w="1361" w:type="dxa"/>
            <w:vAlign w:val="center"/>
          </w:tcPr>
          <w:p>
            <w:pPr>
              <w:pStyle w:val="11"/>
            </w:pPr>
            <w:r>
              <w:t>1218.82</w:t>
            </w:r>
          </w:p>
        </w:tc>
        <w:tc>
          <w:tcPr>
            <w:tcW w:w="1361" w:type="dxa"/>
            <w:vAlign w:val="center"/>
          </w:tcPr>
          <w:p>
            <w:pPr>
              <w:pStyle w:val="11"/>
            </w:pPr>
            <w:r>
              <w:t>934.92</w:t>
            </w:r>
          </w:p>
        </w:tc>
        <w:tc>
          <w:tcPr>
            <w:tcW w:w="1361" w:type="dxa"/>
            <w:vAlign w:val="center"/>
          </w:tcPr>
          <w:p>
            <w:pPr>
              <w:pStyle w:val="11"/>
            </w:pPr>
            <w:r>
              <w:t>283.90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2013401</w:t>
            </w:r>
          </w:p>
        </w:tc>
        <w:tc>
          <w:tcPr>
            <w:tcW w:w="4535" w:type="dxa"/>
            <w:vAlign w:val="center"/>
          </w:tcPr>
          <w:p>
            <w:pPr>
              <w:pStyle w:val="12"/>
            </w:pPr>
            <w:r>
              <w:t>行政运行</w:t>
            </w:r>
          </w:p>
        </w:tc>
        <w:tc>
          <w:tcPr>
            <w:tcW w:w="1361" w:type="dxa"/>
            <w:vAlign w:val="center"/>
          </w:tcPr>
          <w:p>
            <w:pPr>
              <w:pStyle w:val="11"/>
            </w:pPr>
            <w:r>
              <w:t>934.92</w:t>
            </w:r>
          </w:p>
        </w:tc>
        <w:tc>
          <w:tcPr>
            <w:tcW w:w="1361" w:type="dxa"/>
            <w:vAlign w:val="center"/>
          </w:tcPr>
          <w:p>
            <w:pPr>
              <w:pStyle w:val="11"/>
            </w:pPr>
            <w:r>
              <w:t>934.92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2013404</w:t>
            </w:r>
          </w:p>
        </w:tc>
        <w:tc>
          <w:tcPr>
            <w:tcW w:w="4535" w:type="dxa"/>
            <w:vAlign w:val="center"/>
          </w:tcPr>
          <w:p>
            <w:pPr>
              <w:pStyle w:val="12"/>
            </w:pPr>
            <w:r>
              <w:t>宗教事务</w:t>
            </w:r>
          </w:p>
        </w:tc>
        <w:tc>
          <w:tcPr>
            <w:tcW w:w="1361" w:type="dxa"/>
            <w:vAlign w:val="center"/>
          </w:tcPr>
          <w:p>
            <w:pPr>
              <w:pStyle w:val="11"/>
            </w:pPr>
            <w:r>
              <w:t>182.00</w:t>
            </w:r>
          </w:p>
        </w:tc>
        <w:tc>
          <w:tcPr>
            <w:tcW w:w="1361" w:type="dxa"/>
            <w:vAlign w:val="center"/>
          </w:tcPr>
          <w:p>
            <w:pPr>
              <w:pStyle w:val="11"/>
            </w:pPr>
          </w:p>
        </w:tc>
        <w:tc>
          <w:tcPr>
            <w:tcW w:w="1361" w:type="dxa"/>
            <w:vAlign w:val="center"/>
          </w:tcPr>
          <w:p>
            <w:pPr>
              <w:pStyle w:val="11"/>
            </w:pPr>
            <w:r>
              <w:t>182.00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2013405</w:t>
            </w:r>
          </w:p>
        </w:tc>
        <w:tc>
          <w:tcPr>
            <w:tcW w:w="4535" w:type="dxa"/>
            <w:vAlign w:val="center"/>
          </w:tcPr>
          <w:p>
            <w:pPr>
              <w:pStyle w:val="12"/>
            </w:pPr>
            <w:r>
              <w:t>华侨事务</w:t>
            </w:r>
          </w:p>
        </w:tc>
        <w:tc>
          <w:tcPr>
            <w:tcW w:w="1361" w:type="dxa"/>
            <w:vAlign w:val="center"/>
          </w:tcPr>
          <w:p>
            <w:pPr>
              <w:pStyle w:val="11"/>
            </w:pPr>
            <w:r>
              <w:t>34.90</w:t>
            </w:r>
          </w:p>
        </w:tc>
        <w:tc>
          <w:tcPr>
            <w:tcW w:w="1361" w:type="dxa"/>
            <w:vAlign w:val="center"/>
          </w:tcPr>
          <w:p>
            <w:pPr>
              <w:pStyle w:val="11"/>
            </w:pPr>
          </w:p>
        </w:tc>
        <w:tc>
          <w:tcPr>
            <w:tcW w:w="1361" w:type="dxa"/>
            <w:vAlign w:val="center"/>
          </w:tcPr>
          <w:p>
            <w:pPr>
              <w:pStyle w:val="11"/>
            </w:pPr>
            <w:r>
              <w:t>34.90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2013499</w:t>
            </w:r>
          </w:p>
        </w:tc>
        <w:tc>
          <w:tcPr>
            <w:tcW w:w="4535" w:type="dxa"/>
            <w:vAlign w:val="center"/>
          </w:tcPr>
          <w:p>
            <w:pPr>
              <w:pStyle w:val="12"/>
            </w:pPr>
            <w:r>
              <w:t>其他统战事务支出</w:t>
            </w:r>
          </w:p>
        </w:tc>
        <w:tc>
          <w:tcPr>
            <w:tcW w:w="1361" w:type="dxa"/>
            <w:vAlign w:val="center"/>
          </w:tcPr>
          <w:p>
            <w:pPr>
              <w:pStyle w:val="11"/>
            </w:pPr>
            <w:r>
              <w:t>67.00</w:t>
            </w:r>
          </w:p>
        </w:tc>
        <w:tc>
          <w:tcPr>
            <w:tcW w:w="1361" w:type="dxa"/>
            <w:vAlign w:val="center"/>
          </w:tcPr>
          <w:p>
            <w:pPr>
              <w:pStyle w:val="11"/>
            </w:pPr>
          </w:p>
        </w:tc>
        <w:tc>
          <w:tcPr>
            <w:tcW w:w="1361" w:type="dxa"/>
            <w:vAlign w:val="center"/>
          </w:tcPr>
          <w:p>
            <w:pPr>
              <w:pStyle w:val="11"/>
            </w:pPr>
            <w:r>
              <w:t>67.00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203中国共产党沧州市委员会统战部</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1238.82</w:t>
            </w:r>
          </w:p>
        </w:tc>
        <w:tc>
          <w:tcPr>
            <w:tcW w:w="3402" w:type="dxa"/>
            <w:vAlign w:val="center"/>
          </w:tcPr>
          <w:p>
            <w:pPr>
              <w:pStyle w:val="12"/>
            </w:pPr>
            <w:r>
              <w:t>一、一般公共服务支出</w:t>
            </w:r>
          </w:p>
        </w:tc>
        <w:tc>
          <w:tcPr>
            <w:tcW w:w="1474" w:type="dxa"/>
            <w:vAlign w:val="center"/>
          </w:tcPr>
          <w:p>
            <w:pPr>
              <w:pStyle w:val="11"/>
            </w:pPr>
            <w:r>
              <w:t>1238.82</w:t>
            </w:r>
          </w:p>
        </w:tc>
        <w:tc>
          <w:tcPr>
            <w:tcW w:w="1474" w:type="dxa"/>
            <w:vAlign w:val="center"/>
          </w:tcPr>
          <w:p>
            <w:pPr>
              <w:pStyle w:val="11"/>
            </w:pPr>
            <w:r>
              <w:t>1238.82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1238.82</w:t>
            </w:r>
          </w:p>
        </w:tc>
        <w:tc>
          <w:tcPr>
            <w:tcW w:w="3402" w:type="dxa"/>
            <w:vAlign w:val="center"/>
          </w:tcPr>
          <w:p>
            <w:pPr>
              <w:pStyle w:val="14"/>
            </w:pPr>
            <w:r>
              <w:t>本年支出合计</w:t>
            </w:r>
          </w:p>
        </w:tc>
        <w:tc>
          <w:tcPr>
            <w:tcW w:w="1474" w:type="dxa"/>
            <w:vAlign w:val="center"/>
          </w:tcPr>
          <w:p>
            <w:pPr>
              <w:pStyle w:val="15"/>
            </w:pPr>
            <w:r>
              <w:t>1238.82</w:t>
            </w:r>
          </w:p>
        </w:tc>
        <w:tc>
          <w:tcPr>
            <w:tcW w:w="1474" w:type="dxa"/>
            <w:vAlign w:val="center"/>
          </w:tcPr>
          <w:p>
            <w:pPr>
              <w:pStyle w:val="15"/>
            </w:pPr>
            <w:r>
              <w:t>1238.82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1238.82</w:t>
            </w:r>
          </w:p>
        </w:tc>
        <w:tc>
          <w:tcPr>
            <w:tcW w:w="3402" w:type="dxa"/>
            <w:vAlign w:val="center"/>
          </w:tcPr>
          <w:p>
            <w:pPr>
              <w:pStyle w:val="14"/>
            </w:pPr>
            <w:r>
              <w:t>支出总计</w:t>
            </w:r>
          </w:p>
        </w:tc>
        <w:tc>
          <w:tcPr>
            <w:tcW w:w="1474" w:type="dxa"/>
            <w:vAlign w:val="center"/>
          </w:tcPr>
          <w:p>
            <w:pPr>
              <w:pStyle w:val="15"/>
            </w:pPr>
            <w:r>
              <w:t>1238.82</w:t>
            </w:r>
          </w:p>
        </w:tc>
        <w:tc>
          <w:tcPr>
            <w:tcW w:w="1474" w:type="dxa"/>
            <w:vAlign w:val="center"/>
          </w:tcPr>
          <w:p>
            <w:pPr>
              <w:pStyle w:val="15"/>
            </w:pPr>
            <w:r>
              <w:t>1238.82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203中国共产党沧州市委员会统战部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1238.82</w:t>
            </w:r>
          </w:p>
        </w:tc>
        <w:tc>
          <w:tcPr>
            <w:tcW w:w="2551" w:type="dxa"/>
            <w:vAlign w:val="center"/>
          </w:tcPr>
          <w:p>
            <w:pPr>
              <w:pStyle w:val="15"/>
            </w:pPr>
            <w:r>
              <w:t>934.92</w:t>
            </w:r>
          </w:p>
        </w:tc>
        <w:tc>
          <w:tcPr>
            <w:tcW w:w="2551" w:type="dxa"/>
            <w:vAlign w:val="center"/>
          </w:tcPr>
          <w:p>
            <w:pPr>
              <w:pStyle w:val="15"/>
            </w:pPr>
            <w:r>
              <w:t>303.90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1238.82</w:t>
            </w:r>
          </w:p>
        </w:tc>
        <w:tc>
          <w:tcPr>
            <w:tcW w:w="2551" w:type="dxa"/>
            <w:vAlign w:val="center"/>
          </w:tcPr>
          <w:p>
            <w:pPr>
              <w:pStyle w:val="11"/>
            </w:pPr>
            <w:r>
              <w:t>934.92</w:t>
            </w:r>
          </w:p>
        </w:tc>
        <w:tc>
          <w:tcPr>
            <w:tcW w:w="2551" w:type="dxa"/>
            <w:vAlign w:val="center"/>
          </w:tcPr>
          <w:p>
            <w:pPr>
              <w:pStyle w:val="11"/>
            </w:pPr>
            <w:r>
              <w:t>303.90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20125</w:t>
            </w:r>
          </w:p>
        </w:tc>
        <w:tc>
          <w:tcPr>
            <w:tcW w:w="4535" w:type="dxa"/>
            <w:vAlign w:val="center"/>
          </w:tcPr>
          <w:p>
            <w:pPr>
              <w:pStyle w:val="12"/>
            </w:pPr>
            <w:r>
              <w:t>港澳台事务</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2012505</w:t>
            </w:r>
          </w:p>
        </w:tc>
        <w:tc>
          <w:tcPr>
            <w:tcW w:w="4535" w:type="dxa"/>
            <w:vAlign w:val="center"/>
          </w:tcPr>
          <w:p>
            <w:pPr>
              <w:pStyle w:val="12"/>
            </w:pPr>
            <w:r>
              <w:t>台湾事务</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20134</w:t>
            </w:r>
          </w:p>
        </w:tc>
        <w:tc>
          <w:tcPr>
            <w:tcW w:w="4535" w:type="dxa"/>
            <w:vAlign w:val="center"/>
          </w:tcPr>
          <w:p>
            <w:pPr>
              <w:pStyle w:val="12"/>
            </w:pPr>
            <w:r>
              <w:t>统战事务</w:t>
            </w:r>
          </w:p>
        </w:tc>
        <w:tc>
          <w:tcPr>
            <w:tcW w:w="2551" w:type="dxa"/>
            <w:vAlign w:val="center"/>
          </w:tcPr>
          <w:p>
            <w:pPr>
              <w:pStyle w:val="11"/>
            </w:pPr>
            <w:r>
              <w:t>1218.82</w:t>
            </w:r>
          </w:p>
        </w:tc>
        <w:tc>
          <w:tcPr>
            <w:tcW w:w="2551" w:type="dxa"/>
            <w:vAlign w:val="center"/>
          </w:tcPr>
          <w:p>
            <w:pPr>
              <w:pStyle w:val="11"/>
            </w:pPr>
            <w:r>
              <w:t>934.92</w:t>
            </w:r>
          </w:p>
        </w:tc>
        <w:tc>
          <w:tcPr>
            <w:tcW w:w="2551" w:type="dxa"/>
            <w:vAlign w:val="center"/>
          </w:tcPr>
          <w:p>
            <w:pPr>
              <w:pStyle w:val="11"/>
            </w:pPr>
            <w:r>
              <w:t>283.90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2013401</w:t>
            </w:r>
          </w:p>
        </w:tc>
        <w:tc>
          <w:tcPr>
            <w:tcW w:w="4535" w:type="dxa"/>
            <w:vAlign w:val="center"/>
          </w:tcPr>
          <w:p>
            <w:pPr>
              <w:pStyle w:val="12"/>
            </w:pPr>
            <w:r>
              <w:t>行政运行</w:t>
            </w:r>
          </w:p>
        </w:tc>
        <w:tc>
          <w:tcPr>
            <w:tcW w:w="2551" w:type="dxa"/>
            <w:vAlign w:val="center"/>
          </w:tcPr>
          <w:p>
            <w:pPr>
              <w:pStyle w:val="11"/>
            </w:pPr>
            <w:r>
              <w:t>934.92</w:t>
            </w:r>
          </w:p>
        </w:tc>
        <w:tc>
          <w:tcPr>
            <w:tcW w:w="2551" w:type="dxa"/>
            <w:vAlign w:val="center"/>
          </w:tcPr>
          <w:p>
            <w:pPr>
              <w:pStyle w:val="11"/>
            </w:pPr>
            <w:r>
              <w:t>934.92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2013404</w:t>
            </w:r>
          </w:p>
        </w:tc>
        <w:tc>
          <w:tcPr>
            <w:tcW w:w="4535" w:type="dxa"/>
            <w:vAlign w:val="center"/>
          </w:tcPr>
          <w:p>
            <w:pPr>
              <w:pStyle w:val="12"/>
            </w:pPr>
            <w:r>
              <w:t>宗教事务</w:t>
            </w:r>
          </w:p>
        </w:tc>
        <w:tc>
          <w:tcPr>
            <w:tcW w:w="2551" w:type="dxa"/>
            <w:vAlign w:val="center"/>
          </w:tcPr>
          <w:p>
            <w:pPr>
              <w:pStyle w:val="11"/>
            </w:pPr>
            <w:r>
              <w:t>182.00</w:t>
            </w:r>
          </w:p>
        </w:tc>
        <w:tc>
          <w:tcPr>
            <w:tcW w:w="2551" w:type="dxa"/>
            <w:vAlign w:val="center"/>
          </w:tcPr>
          <w:p>
            <w:pPr>
              <w:pStyle w:val="11"/>
            </w:pPr>
          </w:p>
        </w:tc>
        <w:tc>
          <w:tcPr>
            <w:tcW w:w="2551" w:type="dxa"/>
            <w:vAlign w:val="center"/>
          </w:tcPr>
          <w:p>
            <w:pPr>
              <w:pStyle w:val="11"/>
            </w:pPr>
            <w:r>
              <w:t>182.00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2013405</w:t>
            </w:r>
          </w:p>
        </w:tc>
        <w:tc>
          <w:tcPr>
            <w:tcW w:w="4535" w:type="dxa"/>
            <w:vAlign w:val="center"/>
          </w:tcPr>
          <w:p>
            <w:pPr>
              <w:pStyle w:val="12"/>
            </w:pPr>
            <w:r>
              <w:t>华侨事务</w:t>
            </w:r>
          </w:p>
        </w:tc>
        <w:tc>
          <w:tcPr>
            <w:tcW w:w="2551" w:type="dxa"/>
            <w:vAlign w:val="center"/>
          </w:tcPr>
          <w:p>
            <w:pPr>
              <w:pStyle w:val="11"/>
            </w:pPr>
            <w:r>
              <w:t>34.90</w:t>
            </w:r>
          </w:p>
        </w:tc>
        <w:tc>
          <w:tcPr>
            <w:tcW w:w="2551" w:type="dxa"/>
            <w:vAlign w:val="center"/>
          </w:tcPr>
          <w:p>
            <w:pPr>
              <w:pStyle w:val="11"/>
            </w:pPr>
          </w:p>
        </w:tc>
        <w:tc>
          <w:tcPr>
            <w:tcW w:w="2551" w:type="dxa"/>
            <w:vAlign w:val="center"/>
          </w:tcPr>
          <w:p>
            <w:pPr>
              <w:pStyle w:val="11"/>
            </w:pPr>
            <w:r>
              <w:t>34.90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2013499</w:t>
            </w:r>
          </w:p>
        </w:tc>
        <w:tc>
          <w:tcPr>
            <w:tcW w:w="4535" w:type="dxa"/>
            <w:vAlign w:val="center"/>
          </w:tcPr>
          <w:p>
            <w:pPr>
              <w:pStyle w:val="12"/>
            </w:pPr>
            <w:r>
              <w:t>其他统战事务支出</w:t>
            </w:r>
          </w:p>
        </w:tc>
        <w:tc>
          <w:tcPr>
            <w:tcW w:w="2551" w:type="dxa"/>
            <w:vAlign w:val="center"/>
          </w:tcPr>
          <w:p>
            <w:pPr>
              <w:pStyle w:val="11"/>
            </w:pPr>
            <w:r>
              <w:t>67.00</w:t>
            </w:r>
          </w:p>
        </w:tc>
        <w:tc>
          <w:tcPr>
            <w:tcW w:w="2551" w:type="dxa"/>
            <w:vAlign w:val="center"/>
          </w:tcPr>
          <w:p>
            <w:pPr>
              <w:pStyle w:val="11"/>
            </w:pPr>
          </w:p>
        </w:tc>
        <w:tc>
          <w:tcPr>
            <w:tcW w:w="2551" w:type="dxa"/>
            <w:vAlign w:val="center"/>
          </w:tcPr>
          <w:p>
            <w:pPr>
              <w:pStyle w:val="11"/>
            </w:pPr>
            <w:r>
              <w:t>67.00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203中国共产党沧州市委员会统战部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934.92</w:t>
            </w:r>
          </w:p>
        </w:tc>
        <w:tc>
          <w:tcPr>
            <w:tcW w:w="2551" w:type="dxa"/>
            <w:vAlign w:val="center"/>
          </w:tcPr>
          <w:p>
            <w:pPr>
              <w:pStyle w:val="15"/>
            </w:pPr>
            <w:r>
              <w:t>812.02</w:t>
            </w:r>
          </w:p>
        </w:tc>
        <w:tc>
          <w:tcPr>
            <w:tcW w:w="2551" w:type="dxa"/>
            <w:vAlign w:val="center"/>
          </w:tcPr>
          <w:p>
            <w:pPr>
              <w:pStyle w:val="15"/>
            </w:pPr>
            <w:r>
              <w:t>122.90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675.17</w:t>
            </w:r>
          </w:p>
        </w:tc>
        <w:tc>
          <w:tcPr>
            <w:tcW w:w="2551" w:type="dxa"/>
            <w:vAlign w:val="center"/>
          </w:tcPr>
          <w:p>
            <w:pPr>
              <w:pStyle w:val="11"/>
            </w:pPr>
            <w:r>
              <w:t>675.17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175.94</w:t>
            </w:r>
          </w:p>
        </w:tc>
        <w:tc>
          <w:tcPr>
            <w:tcW w:w="2551" w:type="dxa"/>
            <w:vAlign w:val="center"/>
          </w:tcPr>
          <w:p>
            <w:pPr>
              <w:pStyle w:val="11"/>
            </w:pPr>
            <w:r>
              <w:t>175.94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139.65</w:t>
            </w:r>
          </w:p>
        </w:tc>
        <w:tc>
          <w:tcPr>
            <w:tcW w:w="2551" w:type="dxa"/>
            <w:vAlign w:val="center"/>
          </w:tcPr>
          <w:p>
            <w:pPr>
              <w:pStyle w:val="11"/>
            </w:pPr>
            <w:r>
              <w:t>139.65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123.86</w:t>
            </w:r>
          </w:p>
        </w:tc>
        <w:tc>
          <w:tcPr>
            <w:tcW w:w="2551" w:type="dxa"/>
            <w:vAlign w:val="center"/>
          </w:tcPr>
          <w:p>
            <w:pPr>
              <w:pStyle w:val="11"/>
            </w:pPr>
            <w:r>
              <w:t>123.86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49.09</w:t>
            </w:r>
          </w:p>
        </w:tc>
        <w:tc>
          <w:tcPr>
            <w:tcW w:w="2551" w:type="dxa"/>
            <w:vAlign w:val="center"/>
          </w:tcPr>
          <w:p>
            <w:pPr>
              <w:pStyle w:val="11"/>
            </w:pPr>
            <w:r>
              <w:t>49.09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65.39</w:t>
            </w:r>
          </w:p>
        </w:tc>
        <w:tc>
          <w:tcPr>
            <w:tcW w:w="2551" w:type="dxa"/>
            <w:vAlign w:val="center"/>
          </w:tcPr>
          <w:p>
            <w:pPr>
              <w:pStyle w:val="11"/>
            </w:pPr>
            <w:r>
              <w:t>65.39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25.22</w:t>
            </w:r>
          </w:p>
        </w:tc>
        <w:tc>
          <w:tcPr>
            <w:tcW w:w="2551" w:type="dxa"/>
            <w:vAlign w:val="center"/>
          </w:tcPr>
          <w:p>
            <w:pPr>
              <w:pStyle w:val="11"/>
            </w:pPr>
            <w:r>
              <w:t>25.22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29.86</w:t>
            </w:r>
          </w:p>
        </w:tc>
        <w:tc>
          <w:tcPr>
            <w:tcW w:w="2551" w:type="dxa"/>
            <w:vAlign w:val="center"/>
          </w:tcPr>
          <w:p>
            <w:pPr>
              <w:pStyle w:val="11"/>
            </w:pPr>
            <w:r>
              <w:t>29.86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1.60</w:t>
            </w:r>
          </w:p>
        </w:tc>
        <w:tc>
          <w:tcPr>
            <w:tcW w:w="2551" w:type="dxa"/>
            <w:vAlign w:val="center"/>
          </w:tcPr>
          <w:p>
            <w:pPr>
              <w:pStyle w:val="11"/>
            </w:pPr>
            <w:r>
              <w:t>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54.31</w:t>
            </w:r>
          </w:p>
        </w:tc>
        <w:tc>
          <w:tcPr>
            <w:tcW w:w="2551" w:type="dxa"/>
            <w:vAlign w:val="center"/>
          </w:tcPr>
          <w:p>
            <w:pPr>
              <w:pStyle w:val="11"/>
            </w:pPr>
            <w:r>
              <w:t>54.31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10.25</w:t>
            </w:r>
          </w:p>
        </w:tc>
        <w:tc>
          <w:tcPr>
            <w:tcW w:w="2551" w:type="dxa"/>
            <w:vAlign w:val="center"/>
          </w:tcPr>
          <w:p>
            <w:pPr>
              <w:pStyle w:val="11"/>
            </w:pPr>
            <w:r>
              <w:t>10.25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122.90</w:t>
            </w:r>
          </w:p>
        </w:tc>
        <w:tc>
          <w:tcPr>
            <w:tcW w:w="2551" w:type="dxa"/>
            <w:vAlign w:val="center"/>
          </w:tcPr>
          <w:p>
            <w:pPr>
              <w:pStyle w:val="11"/>
            </w:pPr>
          </w:p>
        </w:tc>
        <w:tc>
          <w:tcPr>
            <w:tcW w:w="2551" w:type="dxa"/>
            <w:vAlign w:val="center"/>
          </w:tcPr>
          <w:p>
            <w:pPr>
              <w:pStyle w:val="11"/>
            </w:pPr>
            <w:r>
              <w:t>122.90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6.39</w:t>
            </w:r>
          </w:p>
        </w:tc>
        <w:tc>
          <w:tcPr>
            <w:tcW w:w="2551" w:type="dxa"/>
            <w:vAlign w:val="center"/>
          </w:tcPr>
          <w:p>
            <w:pPr>
              <w:pStyle w:val="11"/>
            </w:pPr>
          </w:p>
        </w:tc>
        <w:tc>
          <w:tcPr>
            <w:tcW w:w="2551" w:type="dxa"/>
            <w:vAlign w:val="center"/>
          </w:tcPr>
          <w:p>
            <w:pPr>
              <w:pStyle w:val="11"/>
            </w:pPr>
            <w:r>
              <w:t>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1.01</w:t>
            </w:r>
          </w:p>
        </w:tc>
        <w:tc>
          <w:tcPr>
            <w:tcW w:w="2551" w:type="dxa"/>
            <w:vAlign w:val="center"/>
          </w:tcPr>
          <w:p>
            <w:pPr>
              <w:pStyle w:val="11"/>
            </w:pPr>
          </w:p>
        </w:tc>
        <w:tc>
          <w:tcPr>
            <w:tcW w:w="2551" w:type="dxa"/>
            <w:vAlign w:val="center"/>
          </w:tcPr>
          <w:p>
            <w:pPr>
              <w:pStyle w:val="11"/>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1.26</w:t>
            </w:r>
          </w:p>
        </w:tc>
        <w:tc>
          <w:tcPr>
            <w:tcW w:w="2551" w:type="dxa"/>
            <w:vAlign w:val="center"/>
          </w:tcPr>
          <w:p>
            <w:pPr>
              <w:pStyle w:val="11"/>
            </w:pPr>
          </w:p>
        </w:tc>
        <w:tc>
          <w:tcPr>
            <w:tcW w:w="2551" w:type="dxa"/>
            <w:vAlign w:val="center"/>
          </w:tcPr>
          <w:p>
            <w:pPr>
              <w:pStyle w:val="11"/>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19.44</w:t>
            </w:r>
          </w:p>
        </w:tc>
        <w:tc>
          <w:tcPr>
            <w:tcW w:w="2551" w:type="dxa"/>
            <w:vAlign w:val="center"/>
          </w:tcPr>
          <w:p>
            <w:pPr>
              <w:pStyle w:val="11"/>
            </w:pPr>
          </w:p>
        </w:tc>
        <w:tc>
          <w:tcPr>
            <w:tcW w:w="2551" w:type="dxa"/>
            <w:vAlign w:val="center"/>
          </w:tcPr>
          <w:p>
            <w:pPr>
              <w:pStyle w:val="11"/>
            </w:pPr>
            <w:r>
              <w:t>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4.10</w:t>
            </w:r>
          </w:p>
        </w:tc>
        <w:tc>
          <w:tcPr>
            <w:tcW w:w="2551" w:type="dxa"/>
            <w:vAlign w:val="center"/>
          </w:tcPr>
          <w:p>
            <w:pPr>
              <w:pStyle w:val="11"/>
            </w:pPr>
          </w:p>
        </w:tc>
        <w:tc>
          <w:tcPr>
            <w:tcW w:w="2551" w:type="dxa"/>
            <w:vAlign w:val="center"/>
          </w:tcPr>
          <w:p>
            <w:pPr>
              <w:pStyle w:val="11"/>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0.63</w:t>
            </w:r>
          </w:p>
        </w:tc>
        <w:tc>
          <w:tcPr>
            <w:tcW w:w="2551" w:type="dxa"/>
            <w:vAlign w:val="center"/>
          </w:tcPr>
          <w:p>
            <w:pPr>
              <w:pStyle w:val="11"/>
            </w:pPr>
          </w:p>
        </w:tc>
        <w:tc>
          <w:tcPr>
            <w:tcW w:w="2551" w:type="dxa"/>
            <w:vAlign w:val="center"/>
          </w:tcPr>
          <w:p>
            <w:pPr>
              <w:pStyle w:val="11"/>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2.27</w:t>
            </w:r>
          </w:p>
        </w:tc>
        <w:tc>
          <w:tcPr>
            <w:tcW w:w="2551" w:type="dxa"/>
            <w:vAlign w:val="center"/>
          </w:tcPr>
          <w:p>
            <w:pPr>
              <w:pStyle w:val="11"/>
            </w:pPr>
          </w:p>
        </w:tc>
        <w:tc>
          <w:tcPr>
            <w:tcW w:w="2551" w:type="dxa"/>
            <w:vAlign w:val="center"/>
          </w:tcPr>
          <w:p>
            <w:pPr>
              <w:pStyle w:val="11"/>
            </w:pPr>
            <w:r>
              <w:t>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0.76</w:t>
            </w:r>
          </w:p>
        </w:tc>
        <w:tc>
          <w:tcPr>
            <w:tcW w:w="2551" w:type="dxa"/>
            <w:vAlign w:val="center"/>
          </w:tcPr>
          <w:p>
            <w:pPr>
              <w:pStyle w:val="11"/>
            </w:pPr>
          </w:p>
        </w:tc>
        <w:tc>
          <w:tcPr>
            <w:tcW w:w="2551" w:type="dxa"/>
            <w:vAlign w:val="center"/>
          </w:tcPr>
          <w:p>
            <w:pPr>
              <w:pStyle w:val="11"/>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3.82</w:t>
            </w:r>
          </w:p>
        </w:tc>
        <w:tc>
          <w:tcPr>
            <w:tcW w:w="2551" w:type="dxa"/>
            <w:vAlign w:val="center"/>
          </w:tcPr>
          <w:p>
            <w:pPr>
              <w:pStyle w:val="11"/>
            </w:pPr>
          </w:p>
        </w:tc>
        <w:tc>
          <w:tcPr>
            <w:tcW w:w="2551" w:type="dxa"/>
            <w:vAlign w:val="center"/>
          </w:tcPr>
          <w:p>
            <w:pPr>
              <w:pStyle w:val="11"/>
            </w:pPr>
            <w:r>
              <w:t>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4.06</w:t>
            </w:r>
          </w:p>
        </w:tc>
        <w:tc>
          <w:tcPr>
            <w:tcW w:w="2551" w:type="dxa"/>
            <w:vAlign w:val="center"/>
          </w:tcPr>
          <w:p>
            <w:pPr>
              <w:pStyle w:val="11"/>
            </w:pPr>
          </w:p>
        </w:tc>
        <w:tc>
          <w:tcPr>
            <w:tcW w:w="2551" w:type="dxa"/>
            <w:vAlign w:val="center"/>
          </w:tcPr>
          <w:p>
            <w:pPr>
              <w:pStyle w:val="11"/>
            </w:pPr>
            <w:r>
              <w:t>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11.23</w:t>
            </w:r>
          </w:p>
        </w:tc>
        <w:tc>
          <w:tcPr>
            <w:tcW w:w="2551" w:type="dxa"/>
            <w:vAlign w:val="center"/>
          </w:tcPr>
          <w:p>
            <w:pPr>
              <w:pStyle w:val="11"/>
            </w:pPr>
          </w:p>
        </w:tc>
        <w:tc>
          <w:tcPr>
            <w:tcW w:w="2551" w:type="dxa"/>
            <w:vAlign w:val="center"/>
          </w:tcPr>
          <w:p>
            <w:pPr>
              <w:pStyle w:val="11"/>
            </w:pPr>
            <w:r>
              <w:t>11.23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24.48</w:t>
            </w:r>
          </w:p>
        </w:tc>
        <w:tc>
          <w:tcPr>
            <w:tcW w:w="2551" w:type="dxa"/>
            <w:vAlign w:val="center"/>
          </w:tcPr>
          <w:p>
            <w:pPr>
              <w:pStyle w:val="11"/>
            </w:pPr>
          </w:p>
        </w:tc>
        <w:tc>
          <w:tcPr>
            <w:tcW w:w="2551" w:type="dxa"/>
            <w:vAlign w:val="center"/>
          </w:tcPr>
          <w:p>
            <w:pPr>
              <w:pStyle w:val="11"/>
            </w:pPr>
            <w:r>
              <w:t>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40.75</w:t>
            </w:r>
          </w:p>
        </w:tc>
        <w:tc>
          <w:tcPr>
            <w:tcW w:w="2551" w:type="dxa"/>
            <w:vAlign w:val="center"/>
          </w:tcPr>
          <w:p>
            <w:pPr>
              <w:pStyle w:val="11"/>
            </w:pPr>
          </w:p>
        </w:tc>
        <w:tc>
          <w:tcPr>
            <w:tcW w:w="2551" w:type="dxa"/>
            <w:vAlign w:val="center"/>
          </w:tcPr>
          <w:p>
            <w:pPr>
              <w:pStyle w:val="11"/>
            </w:pPr>
            <w:r>
              <w:t>40.75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136.85</w:t>
            </w:r>
          </w:p>
        </w:tc>
        <w:tc>
          <w:tcPr>
            <w:tcW w:w="2551" w:type="dxa"/>
            <w:vAlign w:val="center"/>
          </w:tcPr>
          <w:p>
            <w:pPr>
              <w:pStyle w:val="11"/>
            </w:pPr>
            <w:r>
              <w:t>136.85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38.02</w:t>
            </w:r>
          </w:p>
        </w:tc>
        <w:tc>
          <w:tcPr>
            <w:tcW w:w="2551" w:type="dxa"/>
            <w:vAlign w:val="center"/>
          </w:tcPr>
          <w:p>
            <w:pPr>
              <w:pStyle w:val="11"/>
            </w:pPr>
            <w:r>
              <w:t>38.02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94.20</w:t>
            </w:r>
          </w:p>
        </w:tc>
        <w:tc>
          <w:tcPr>
            <w:tcW w:w="2551" w:type="dxa"/>
            <w:vAlign w:val="center"/>
          </w:tcPr>
          <w:p>
            <w:pPr>
              <w:pStyle w:val="11"/>
            </w:pPr>
            <w:r>
              <w:t>94.20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3.16</w:t>
            </w:r>
          </w:p>
        </w:tc>
        <w:tc>
          <w:tcPr>
            <w:tcW w:w="2551" w:type="dxa"/>
            <w:vAlign w:val="center"/>
          </w:tcPr>
          <w:p>
            <w:pPr>
              <w:pStyle w:val="11"/>
            </w:pPr>
            <w:r>
              <w:t>3.16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0.32</w:t>
            </w:r>
          </w:p>
        </w:tc>
        <w:tc>
          <w:tcPr>
            <w:tcW w:w="2551" w:type="dxa"/>
            <w:vAlign w:val="center"/>
          </w:tcPr>
          <w:p>
            <w:pPr>
              <w:pStyle w:val="11"/>
            </w:pPr>
            <w:r>
              <w:t>0.32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1.15</w:t>
            </w:r>
          </w:p>
        </w:tc>
        <w:tc>
          <w:tcPr>
            <w:tcW w:w="2551" w:type="dxa"/>
            <w:vAlign w:val="center"/>
          </w:tcPr>
          <w:p>
            <w:pPr>
              <w:pStyle w:val="11"/>
            </w:pPr>
            <w:r>
              <w:t>1.15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203中国共产党沧州市委员会统战部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203中国共产党沧州市委员会统战部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203中国共产党沧州市委员会统战部</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11.99</w:t>
            </w:r>
          </w:p>
        </w:tc>
        <w:tc>
          <w:tcPr>
            <w:tcW w:w="2381" w:type="dxa"/>
            <w:vAlign w:val="center"/>
          </w:tcPr>
          <w:p>
            <w:pPr>
              <w:pStyle w:val="15"/>
            </w:pPr>
            <w:r>
              <w:t>11.99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11.99</w:t>
            </w:r>
          </w:p>
        </w:tc>
        <w:tc>
          <w:tcPr>
            <w:tcW w:w="2381" w:type="dxa"/>
            <w:vAlign w:val="center"/>
          </w:tcPr>
          <w:p>
            <w:pPr>
              <w:pStyle w:val="11"/>
            </w:pPr>
            <w:r>
              <w:t>11.99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11.23</w:t>
            </w:r>
          </w:p>
        </w:tc>
        <w:tc>
          <w:tcPr>
            <w:tcW w:w="2381" w:type="dxa"/>
            <w:vAlign w:val="center"/>
          </w:tcPr>
          <w:p>
            <w:pPr>
              <w:pStyle w:val="11"/>
            </w:pPr>
            <w:r>
              <w:t>11.23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11.23</w:t>
            </w:r>
          </w:p>
        </w:tc>
        <w:tc>
          <w:tcPr>
            <w:tcW w:w="2381" w:type="dxa"/>
            <w:vAlign w:val="center"/>
          </w:tcPr>
          <w:p>
            <w:pPr>
              <w:pStyle w:val="11"/>
            </w:pPr>
            <w:r>
              <w:t>11.23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0.76</w:t>
            </w:r>
          </w:p>
        </w:tc>
        <w:tc>
          <w:tcPr>
            <w:tcW w:w="2381" w:type="dxa"/>
            <w:vAlign w:val="center"/>
          </w:tcPr>
          <w:p>
            <w:pPr>
              <w:pStyle w:val="11"/>
            </w:pPr>
            <w:r>
              <w:t>0.76</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中国共产党沧州市委员会统战部2024年部门预算信息公开情况说明</w:t>
      </w:r>
    </w:p>
    <w:p>
      <w:pPr>
        <w:jc w:val="center"/>
      </w:pPr>
      <w:r>
        <w:rPr>
          <w:rFonts w:ascii="方正小标宋_GBK" w:hAnsi="方正小标宋_GBK" w:eastAsia="方正小标宋_GBK" w:cs="方正小标宋_GBK"/>
          <w:color w:val="000000"/>
          <w:sz w:val="44"/>
        </w:rPr>
        <w:t>中国共产党沧州市委员会统战部2024年部门预算信息公开情况说明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按照《中华人民共和国预算法》、《地方预决算公开操作规程》和《关于进一步推进预算公开工作的实施意见》规定，现将中国共产党沧州市委员会统战部2024年部门预算公开如下：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调查研究统一战线的理论和方针政策，组织贯彻执行中央和市委关于统一战线的方针、政策；向市委反映统一战线全面情况，提出开展统战工作的意见和建议；检查统战政策执行情况，协调统一战线各方面的关系。负责党外人士的政治安排；会同有关部门做好党外人士担任政府和司法机关领导职务的相关工作；做好党外后备干部和新的代表人物队伍的建设工作</w:t>
      </w:r>
      <w:r>
        <w:rPr>
          <w:rFonts w:hint="eastAsia"/>
          <w:lang w:eastAsia="zh-CN"/>
        </w:rPr>
        <w:t>；</w:t>
      </w:r>
      <w:r>
        <w:rPr>
          <w:rFonts w:eastAsia="方正仿宋_GBK"/>
          <w:sz w:val="28"/>
        </w:rPr>
        <w:t>完成中央、省</w:t>
      </w:r>
      <w:r>
        <w:rPr>
          <w:rFonts w:hint="eastAsia"/>
          <w:sz w:val="28"/>
          <w:lang w:eastAsia="zh-CN"/>
        </w:rPr>
        <w:t>委</w:t>
      </w:r>
      <w:r>
        <w:rPr>
          <w:rFonts w:eastAsia="方正仿宋_GBK"/>
          <w:sz w:val="28"/>
        </w:rPr>
        <w:t>统战部和市委交办的其他任务</w:t>
      </w:r>
      <w: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中国共产党沧州市委员会统战部本级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按照预算管理有关规定，目前部门预算的编制实行综合预算管理，即全部收入和支出都反映在预算中。中国共产党沧州市委员会统战部机关及所属事业单位的收支包含在部门预算中。</w:t>
      </w:r>
    </w:p>
    <w:p>
      <w:pPr>
        <w:pStyle w:val="18"/>
      </w:pPr>
      <w:r>
        <w:t>1、收入说明</w:t>
      </w:r>
    </w:p>
    <w:p>
      <w:pPr>
        <w:pStyle w:val="18"/>
      </w:pPr>
      <w:r>
        <w:t>反映本部门当年全部收入。2024年预算收入1238.82万元，其中：一般公共预算收入1238.82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沧州市委员会统战部年度部门预算中支出预算的总体情况。2024年支出预算1238.82万元，其中基本支出934.92万元，包括人员经费812.02万元和日常公用经费122.90万元；项目支出303.90万元，主要为“707”专项100万元，专项整治工作和天主教综合治理经费57万元，退休归侨职工补贴4.9万元，统战干部培训12万元，非法宗教活动专项治理10万元，侨务工作经费30万元，港澳台交流经费20万元，无党派人士、党外知识分子和新的社会阶层人士工作经费15万元，统战信息宣传调研工作20万元，民主党派和党外干部工作经费10万元，统战工作协调10万元，非公经济统战工作10万元，提前下达2024年省级基层宗教事务管理补助经费5万元。</w:t>
      </w:r>
    </w:p>
    <w:p>
      <w:pPr>
        <w:pStyle w:val="18"/>
      </w:pPr>
      <w:r>
        <w:t>3、比上年增减情况</w:t>
      </w:r>
    </w:p>
    <w:p>
      <w:pPr>
        <w:pStyle w:val="18"/>
      </w:pPr>
      <w:r>
        <w:t>2024年预算收支安排1238.82万元，较2023年预算增加34.12万元，其中：基本支出增加62.22万元，主要为增加人员经费支出61.81万元，增加公用经费支出0.41万元。项目支出减少28.10万元，主要为减少专项整治工作和天主教综合治理经费18万元，减少侨务工作经费6万元，减少非公经济统战工作5万元</w:t>
      </w:r>
      <w:r>
        <w:rPr>
          <w:rFonts w:hint="eastAsia"/>
          <w:lang w:eastAsia="zh-CN"/>
        </w:rPr>
        <w:t>，</w:t>
      </w:r>
      <w:bookmarkStart w:id="20" w:name="_GoBack"/>
      <w:bookmarkEnd w:id="20"/>
      <w:r>
        <w:t>增加退休归侨职工补贴0.9万元。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2024年，我部门机关运行经费共计安排122.90万元，主要用于日常维修、办公用房水电费、办公用房取暖费、办公用房物业管理费等日常运行支出。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11.99万元，其中因公出国（境）费0.00万元；公务用车购置及运维费11.23万元（其中：公务用车购置费为0.00万元，公务用车运维费11.23万元)；公务接待费0.76万元。与2023年相比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深入贯彻习近平新时代中国特色社会主义思想，围绕全面贯彻落实党的二十大精神和习近平总书记关于做好新时代党的统一战线工作的重要思想，坚决落实中央决策部署和省市委工作要求，落细落实全国、全省统战部长会议部署要求，开创我市统战工作新局面。</w:t>
      </w:r>
    </w:p>
    <w:p>
      <w:pPr>
        <w:spacing w:line="500" w:lineRule="exact"/>
        <w:ind w:firstLine="560"/>
      </w:pPr>
      <w:r>
        <w:rPr>
          <w:rFonts w:eastAsia="方正仿宋_GBK"/>
          <w:color w:val="000000"/>
          <w:sz w:val="28"/>
        </w:rPr>
        <w:t>（二）分项绩效目标</w:t>
      </w:r>
    </w:p>
    <w:p>
      <w:pPr>
        <w:pStyle w:val="22"/>
      </w:pPr>
      <w:r>
        <w:t>一、职责：开展统战工作。</w:t>
      </w:r>
    </w:p>
    <w:p>
      <w:pPr>
        <w:spacing w:line="500" w:lineRule="exact"/>
        <w:ind w:firstLine="560" w:firstLineChars="200"/>
        <w:jc w:val="left"/>
        <w:rPr>
          <w:rFonts w:eastAsia="方正仿宋_GBK"/>
          <w:sz w:val="28"/>
        </w:rPr>
      </w:pPr>
      <w:r>
        <w:rPr>
          <w:rFonts w:eastAsia="方正仿宋_GBK"/>
          <w:sz w:val="28"/>
        </w:rPr>
        <w:t>内容描述：调查研究统一战线的理论和方针政策，组织贯彻执行中央和市委关于统一战线的方针、政策；向市委反映统一战线全面情况，提出开展统战工作的意见和建议；检查统战政策执行情况，协调统一战线各方面的关系。</w:t>
      </w:r>
    </w:p>
    <w:p>
      <w:pPr>
        <w:spacing w:line="500" w:lineRule="exact"/>
        <w:ind w:firstLine="560" w:firstLineChars="200"/>
        <w:jc w:val="left"/>
        <w:rPr>
          <w:rFonts w:eastAsia="方正仿宋_GBK"/>
          <w:sz w:val="28"/>
        </w:rPr>
      </w:pPr>
      <w:r>
        <w:rPr>
          <w:rFonts w:eastAsia="方正仿宋_GBK"/>
          <w:sz w:val="28"/>
        </w:rPr>
        <w:t>1、民主党派和无党派代表人士工作：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2、民族宗教</w:t>
      </w:r>
      <w:r>
        <w:rPr>
          <w:rFonts w:hint="eastAsia" w:eastAsia="方正仿宋_GBK"/>
          <w:sz w:val="28"/>
          <w:lang w:eastAsia="zh-CN"/>
        </w:rPr>
        <w:t>工作</w:t>
      </w:r>
      <w:r>
        <w:rPr>
          <w:rFonts w:eastAsia="方正仿宋_GBK"/>
          <w:sz w:val="28"/>
        </w:rPr>
        <w:t>：负责调查研究、协调检查有关民族和宗教工作的重大方针、政策问题；联系少数民族和宗教界代表人物；协助有关部门做好少数民族干部的培养举荐工作。3、港澳台侨海外统战：负责开展以祖国统一为重点的海外统战工作，联系港澳海外有关社团及代表人士；联系台湾在野党派及各界人士；做好台胞、台属工作；组织好来沧经贸、文化交流团组接待和赴台审核报备工作；做好侨情和侨务工作并提出政策建议，指导协调有关部门和社会团体涉侨工作。4、非公经济统战：联系、培养非公经济代表人士，开展思想政治工作；负责非公经济领域统战工作的有关方针政策的调研并提出政策性建议，促进民营经济健康发展。会同有关部门推动智力支边扶贫工作，引导非公经济人士开展光彩事业。5、党外知识分子和新的社会阶层人士统战：调查研究党外知识分子和新的社会阶层人士的情况，反映意见，协调关系；联系并培养党外知识分子和出国、归国留学人员的代表人物。</w:t>
      </w:r>
    </w:p>
    <w:p>
      <w:pPr>
        <w:spacing w:line="500" w:lineRule="exact"/>
        <w:ind w:firstLine="560" w:firstLineChars="200"/>
        <w:jc w:val="left"/>
        <w:rPr>
          <w:rFonts w:eastAsia="方正仿宋_GBK"/>
          <w:sz w:val="28"/>
        </w:rPr>
      </w:pPr>
      <w:r>
        <w:rPr>
          <w:rFonts w:eastAsia="方正仿宋_GBK"/>
          <w:sz w:val="28"/>
        </w:rPr>
        <w:t>绩效目标：调查研究统一战线的理论和方针政策，组织贯彻执行中央和市委关于统一战线的方针、政策；向市委反映统一战线全面情况，提出开展统战工作的意见和建议；检查统战政策执行情况，协调统一战线各方面的关系。</w:t>
      </w:r>
    </w:p>
    <w:p>
      <w:pPr>
        <w:spacing w:line="500" w:lineRule="exact"/>
        <w:ind w:firstLine="560" w:firstLineChars="200"/>
        <w:jc w:val="left"/>
        <w:rPr>
          <w:rFonts w:eastAsia="方正仿宋_GBK"/>
          <w:sz w:val="28"/>
        </w:rPr>
      </w:pPr>
      <w:r>
        <w:rPr>
          <w:rFonts w:eastAsia="方正仿宋_GBK"/>
          <w:sz w:val="28"/>
        </w:rPr>
        <w:t>1、进一步加强中国共产党领导的多党合作和政治协商制度建设，充分发挥民主党派职能作用，构建和谐政党关系2、着力破解各宗教领域存在突出问题；继续深入推进宗教坚持中国化方向工作；进一步夯实宗教工作基层基础；全面深入开展民族团结进步创建工作。3、争取人心，凝聚、壮大爱国力量，为沧州的对外开放和经济社会发展做贡献，为实现祖国统一大业服务。4、促进非公经济人士健康成长和非公经济健康发展。5、凝聚共识，弘扬正能量；发挥人才智力优势，服务经济社会发展。</w:t>
      </w:r>
    </w:p>
    <w:p>
      <w:pPr>
        <w:pStyle w:val="22"/>
      </w:pPr>
      <w:r>
        <w:t>二、职责：党外干部队伍建设。</w:t>
      </w:r>
    </w:p>
    <w:p>
      <w:pPr>
        <w:spacing w:line="500" w:lineRule="exact"/>
        <w:ind w:firstLine="560" w:firstLineChars="200"/>
        <w:jc w:val="left"/>
        <w:rPr>
          <w:rFonts w:eastAsia="方正仿宋_GBK"/>
          <w:sz w:val="28"/>
        </w:rPr>
      </w:pPr>
      <w:r>
        <w:rPr>
          <w:rFonts w:hint="eastAsia" w:eastAsia="方正仿宋_GBK"/>
          <w:sz w:val="28"/>
          <w:lang w:eastAsia="zh-CN"/>
        </w:rPr>
        <w:t>内</w:t>
      </w:r>
      <w:r>
        <w:rPr>
          <w:rFonts w:eastAsia="方正仿宋_GBK"/>
          <w:sz w:val="28"/>
        </w:rPr>
        <w:t>容描述：负责党外人士的政治安排；会同有关部门做好党外人士担任政府和司法机关领导职务的相关工作；做好党外后备干部和新的代表人物队伍的建设工作；培养、考察、选拔、推荐、安排党外人士担任政府和司法机关领导职务，党外后备干部和新的代表人物队伍建设。</w:t>
      </w:r>
    </w:p>
    <w:p>
      <w:pPr>
        <w:spacing w:line="500" w:lineRule="exact"/>
        <w:ind w:firstLine="560" w:firstLineChars="200"/>
        <w:jc w:val="left"/>
        <w:rPr>
          <w:rFonts w:eastAsia="方正仿宋_GBK"/>
          <w:sz w:val="28"/>
        </w:rPr>
      </w:pPr>
      <w:r>
        <w:rPr>
          <w:rFonts w:eastAsia="方正仿宋_GBK"/>
          <w:sz w:val="28"/>
        </w:rPr>
        <w:t>绩效目标：负责党外人士的政治安排；会同有关部门做好党外人士担任政府和司法机关领导职务的相关工作；做好党外后备干部和新的代表人物队伍的建设工作；提升党外干部队伍整体素质，增强党外干部政治把握能力、参政议政能力、组织领导能力和合作共事能力；完善全市党外代表人士信息。</w:t>
      </w:r>
    </w:p>
    <w:p>
      <w:pPr>
        <w:pStyle w:val="22"/>
      </w:pPr>
      <w:r>
        <w:t>三、职责：统战事务管理。</w:t>
      </w:r>
    </w:p>
    <w:p>
      <w:pPr>
        <w:spacing w:line="500" w:lineRule="exact"/>
        <w:ind w:firstLine="560" w:firstLineChars="200"/>
        <w:jc w:val="left"/>
        <w:rPr>
          <w:rFonts w:eastAsia="方正仿宋_GBK"/>
          <w:sz w:val="28"/>
        </w:rPr>
      </w:pPr>
      <w:r>
        <w:rPr>
          <w:rFonts w:eastAsia="方正仿宋_GBK"/>
          <w:sz w:val="28"/>
        </w:rPr>
        <w:t>内容描述：负责统战业务管理。综合业务管理：综合调研统战理论政策；负责全市统战宣传和联络工作以及涉及统战各界人士的综合性工作；指导县党委、协调政府各有关部门的统战工作，负责培训工作；完成中央、省</w:t>
      </w:r>
      <w:r>
        <w:rPr>
          <w:rFonts w:hint="eastAsia" w:eastAsia="方正仿宋_GBK"/>
          <w:sz w:val="28"/>
          <w:lang w:eastAsia="zh-CN"/>
        </w:rPr>
        <w:t>委</w:t>
      </w:r>
      <w:r>
        <w:rPr>
          <w:rFonts w:eastAsia="方正仿宋_GBK"/>
          <w:sz w:val="28"/>
        </w:rPr>
        <w:t>统战部和市委交办的其他任务。</w:t>
      </w:r>
    </w:p>
    <w:p>
      <w:pPr>
        <w:spacing w:line="500" w:lineRule="exact"/>
        <w:ind w:firstLine="560" w:firstLineChars="200"/>
        <w:jc w:val="left"/>
        <w:rPr>
          <w:rFonts w:eastAsia="方正仿宋_GBK"/>
          <w:sz w:val="28"/>
        </w:rPr>
      </w:pPr>
      <w:r>
        <w:rPr>
          <w:rFonts w:eastAsia="方正仿宋_GBK"/>
          <w:sz w:val="28"/>
        </w:rPr>
        <w:t>绩效目标：负责统战业务管理。提升统战理论研究实力和社会影响力，提高统战工作科学化水平，更好地服务全市中心工作。</w:t>
      </w:r>
    </w:p>
    <w:p>
      <w:pPr>
        <w:spacing w:line="500" w:lineRule="exact"/>
        <w:ind w:firstLine="560"/>
      </w:pPr>
      <w:r>
        <w:rPr>
          <w:rFonts w:eastAsia="方正仿宋_GBK"/>
          <w:color w:val="000000"/>
          <w:sz w:val="28"/>
        </w:rPr>
        <w:t>（三）工作保障措施</w:t>
      </w:r>
    </w:p>
    <w:p>
      <w:pPr>
        <w:spacing w:line="500" w:lineRule="exact"/>
        <w:ind w:firstLine="560" w:firstLineChars="200"/>
        <w:jc w:val="left"/>
        <w:rPr>
          <w:rFonts w:eastAsia="方正仿宋_GBK"/>
          <w:sz w:val="28"/>
        </w:rPr>
      </w:pPr>
      <w:bookmarkStart w:id="14" w:name="_Toc_3_3_0000000015"/>
      <w:r>
        <w:rPr>
          <w:rFonts w:eastAsia="方正仿宋_GBK"/>
          <w:sz w:val="28"/>
        </w:rPr>
        <w:t>一、联系各民主党派市委及民主党派代表人士，反映意见建议。贯彻落实党对民主党派工作的方针政策，协调做好各民主党派市委履行参政议政、民主监督、参加中国共产党领导的政治协商职能的相关工作。协助各民主党派加强自身建设。做好党外代表人士和优秀年轻干部队伍建设工作。适时组织党外代表人士培训。</w:t>
      </w:r>
    </w:p>
    <w:p>
      <w:pPr>
        <w:spacing w:line="500" w:lineRule="exact"/>
        <w:ind w:firstLine="560" w:firstLineChars="200"/>
        <w:jc w:val="left"/>
        <w:rPr>
          <w:rFonts w:eastAsia="方正仿宋_GBK"/>
          <w:sz w:val="28"/>
        </w:rPr>
      </w:pPr>
      <w:r>
        <w:rPr>
          <w:rFonts w:eastAsia="方正仿宋_GBK"/>
          <w:sz w:val="28"/>
        </w:rPr>
        <w:t>二、协调处理民族宗教工作中的重大问题；开展民族宗教工作的重大问题调查研究；联系少数民族代表人士和宗教界代表人士；协调做好在沧新疆、西藏籍少数民族群众的服务管理工作；协调有关部门依法治理宗教领域突出问题；引导宗教坚持中国化方向。</w:t>
      </w:r>
    </w:p>
    <w:p>
      <w:pPr>
        <w:spacing w:line="500" w:lineRule="exact"/>
        <w:ind w:firstLine="560" w:firstLineChars="200"/>
        <w:jc w:val="left"/>
        <w:rPr>
          <w:rFonts w:eastAsia="方正仿宋_GBK"/>
          <w:sz w:val="28"/>
        </w:rPr>
      </w:pPr>
      <w:r>
        <w:rPr>
          <w:rFonts w:eastAsia="方正仿宋_GBK"/>
          <w:sz w:val="28"/>
        </w:rPr>
        <w:t>三、调查研究香港、澳门地区统一战线工作并提出政策建议。开展对台工作，调查研究并结合我市实际提出对策建议。负责联系香港、澳门有关团体及代表人士。负责做好台胞、台属工作，协调处理有关涉台法律事务。组织开展以祖国统一为重点的海外统战工作，联系港澳海外有关社团及代表人士。</w:t>
      </w:r>
    </w:p>
    <w:p>
      <w:pPr>
        <w:spacing w:line="500" w:lineRule="exact"/>
        <w:ind w:firstLine="560" w:firstLineChars="200"/>
        <w:jc w:val="left"/>
        <w:rPr>
          <w:rFonts w:eastAsia="方正仿宋_GBK"/>
          <w:sz w:val="28"/>
        </w:rPr>
      </w:pPr>
      <w:r>
        <w:rPr>
          <w:rFonts w:eastAsia="方正仿宋_GBK"/>
          <w:sz w:val="28"/>
        </w:rPr>
        <w:t>四、开展非公有制经济领域统战工作调查研究，提出政策建议。联系、培养非公有制经济代表人士，开展思想政治工作，了解、反映意见建议，推动构建亲清新型政商关系。协调指导非公有制经济代表人士综合评价工作。组织推动工商联和非公有制经济人士投身公益慈善事业。</w:t>
      </w:r>
    </w:p>
    <w:p>
      <w:pPr>
        <w:spacing w:line="500" w:lineRule="exact"/>
        <w:ind w:firstLine="560" w:firstLineChars="200"/>
        <w:jc w:val="left"/>
        <w:rPr>
          <w:rFonts w:eastAsia="方正仿宋_GBK"/>
          <w:sz w:val="28"/>
        </w:rPr>
      </w:pPr>
      <w:r>
        <w:rPr>
          <w:rFonts w:eastAsia="方正仿宋_GBK"/>
          <w:sz w:val="28"/>
        </w:rPr>
        <w:t>五、调查研究无党派人士工作并提出政策建议。调查了解党外知识分子的情况，反映动态，推动落实党外知识分子政策。指导和推动高等学校、科研院所、国有企业的党外知识分子统战工作。</w:t>
      </w:r>
    </w:p>
    <w:p>
      <w:pPr>
        <w:spacing w:line="500" w:lineRule="exact"/>
        <w:ind w:firstLine="560" w:firstLineChars="200"/>
        <w:jc w:val="left"/>
        <w:rPr>
          <w:rFonts w:eastAsia="方正仿宋_GBK"/>
          <w:sz w:val="28"/>
        </w:rPr>
      </w:pPr>
      <w:r>
        <w:rPr>
          <w:rFonts w:eastAsia="方正仿宋_GBK"/>
          <w:sz w:val="28"/>
        </w:rPr>
        <w:t>六、负责联系全市各类社会组织，协调指导各类社会组织做好新的社会阶层人士统战工作。协调指导有关单位和人民团体、统战团体等开展新的社会阶层人士统战工作。</w:t>
      </w:r>
    </w:p>
    <w:p>
      <w:pPr>
        <w:spacing w:line="500" w:lineRule="exact"/>
        <w:ind w:firstLine="560" w:firstLineChars="200"/>
        <w:jc w:val="left"/>
        <w:rPr>
          <w:rFonts w:eastAsia="方正仿宋_GBK"/>
          <w:sz w:val="28"/>
        </w:rPr>
      </w:pPr>
      <w:r>
        <w:rPr>
          <w:rFonts w:eastAsia="方正仿宋_GBK"/>
          <w:sz w:val="28"/>
        </w:rPr>
        <w:t>七、负责侨情和侨务工作并提出政策建议，指导协调有关部门和社会团体涉侨工作。联系海外有关侨团及代表人士。负责侨务扶贫和侨务信访工作。指导县级统战部门依法履行职责。组织开展涉侨宣传，联系海外华文媒体，开展交流合作。</w:t>
      </w:r>
    </w:p>
    <w:p>
      <w:pPr>
        <w:spacing w:line="500" w:lineRule="exact"/>
        <w:ind w:firstLine="560" w:firstLineChars="200"/>
        <w:jc w:val="left"/>
        <w:rPr>
          <w:rFonts w:eastAsia="方正仿宋_GBK"/>
          <w:sz w:val="28"/>
        </w:rPr>
      </w:pPr>
      <w:r>
        <w:rPr>
          <w:rFonts w:eastAsia="方正仿宋_GBK"/>
          <w:sz w:val="28"/>
        </w:rPr>
        <w:t>八、参与拟订引资引智政策制度，指导引进侨资侨智工作。组织开展统一战线宣传工作；推动开展互联网统战工作；拟订统一战线重点课题调研计划；总结推广统战工作实践创新成果。</w:t>
      </w: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1120" w:firstLineChars="400"/>
        <w:outlineLvl w:val="2"/>
        <w:rPr>
          <w:rFonts w:ascii="方正仿宋_GBK" w:hAnsi="方正仿宋_GBK" w:eastAsia="方正仿宋_GBK" w:cs="方正仿宋_GBK"/>
          <w:color w:val="000000"/>
          <w:sz w:val="28"/>
        </w:rPr>
        <w:sectPr>
          <w:pgSz w:w="16840" w:h="11900" w:orient="landscape"/>
          <w:pgMar w:top="1361" w:right="1020" w:bottom="1134" w:left="1020" w:header="720" w:footer="720" w:gutter="0"/>
          <w:cols w:space="720" w:num="1"/>
        </w:sectPr>
      </w:pPr>
      <w:r>
        <w:rPr>
          <w:rFonts w:hint="eastAsia" w:ascii="方正仿宋_GBK" w:hAnsi="方正仿宋_GBK" w:eastAsia="方正仿宋_GBK" w:cs="方正仿宋_GBK"/>
          <w:color w:val="000000"/>
          <w:sz w:val="28"/>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1、2024年度非法宗教活动专项治理绩效目标表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13090024P00021010002N</w:t>
            </w:r>
          </w:p>
        </w:tc>
        <w:tc>
          <w:tcPr>
            <w:tcW w:w="2835" w:type="dxa"/>
            <w:vAlign w:val="center"/>
          </w:tcPr>
          <w:p>
            <w:pPr>
              <w:pStyle w:val="10"/>
            </w:pPr>
            <w:r>
              <w:t>项目名称</w:t>
            </w:r>
          </w:p>
        </w:tc>
        <w:tc>
          <w:tcPr>
            <w:tcW w:w="6094" w:type="dxa"/>
            <w:gridSpan w:val="3"/>
            <w:vAlign w:val="center"/>
          </w:tcPr>
          <w:p>
            <w:pPr>
              <w:pStyle w:val="12"/>
            </w:pPr>
            <w:r>
              <w:t>2024年度非法宗教活动专项治理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涉密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2、2024年度非公经济统战工作绩效目标表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13090024P000207100027</w:t>
            </w:r>
          </w:p>
        </w:tc>
        <w:tc>
          <w:tcPr>
            <w:tcW w:w="2835" w:type="dxa"/>
            <w:vAlign w:val="center"/>
          </w:tcPr>
          <w:p>
            <w:pPr>
              <w:pStyle w:val="10"/>
            </w:pPr>
            <w:r>
              <w:t>项目名称</w:t>
            </w:r>
          </w:p>
        </w:tc>
        <w:tc>
          <w:tcPr>
            <w:tcW w:w="6094" w:type="dxa"/>
            <w:gridSpan w:val="3"/>
            <w:vAlign w:val="center"/>
          </w:tcPr>
          <w:p>
            <w:pPr>
              <w:pStyle w:val="12"/>
            </w:pPr>
            <w:r>
              <w:t>2024年度非公经济统战工作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hint="eastAsia" w:eastAsia="方正书宋_GBK"/>
                <w:lang w:eastAsia="zh-CN"/>
              </w:rPr>
            </w:pPr>
            <w:r>
              <w:t>开展入企宣讲；组织企业家代表开展理想信念教育活动，；对非公经济统战领域重大课题、问题进行调研走访、座谈</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1.开展非公有制经济代表人士思想政治工作，促进非公有制经济人士健康成长</w:t>
            </w:r>
          </w:p>
          <w:p>
            <w:pPr>
              <w:pStyle w:val="12"/>
            </w:pPr>
            <w:r>
              <w:t>2.开展非公有制经济统战工作调研及情况研究分析，提升统战工作水平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开展理想信念教育活动次数</w:t>
            </w:r>
          </w:p>
        </w:tc>
        <w:tc>
          <w:tcPr>
            <w:tcW w:w="5386" w:type="dxa"/>
            <w:vAlign w:val="center"/>
          </w:tcPr>
          <w:p>
            <w:pPr>
              <w:pStyle w:val="12"/>
            </w:pPr>
            <w:r>
              <w:t>开展理想信念教育活动</w:t>
            </w:r>
          </w:p>
        </w:tc>
        <w:tc>
          <w:tcPr>
            <w:tcW w:w="2268" w:type="dxa"/>
            <w:vAlign w:val="center"/>
          </w:tcPr>
          <w:p>
            <w:pPr>
              <w:pStyle w:val="12"/>
            </w:pPr>
            <w:r>
              <w:t>≥2次</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活动完成率</w:t>
            </w:r>
          </w:p>
        </w:tc>
        <w:tc>
          <w:tcPr>
            <w:tcW w:w="2268" w:type="dxa"/>
            <w:vAlign w:val="center"/>
          </w:tcPr>
          <w:p>
            <w:pPr>
              <w:pStyle w:val="12"/>
            </w:pPr>
            <w:r>
              <w:t>≥90%</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1年内</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≤10万元</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促进非公有制经济人士健康成长</w:t>
            </w:r>
          </w:p>
        </w:tc>
        <w:tc>
          <w:tcPr>
            <w:tcW w:w="5386" w:type="dxa"/>
            <w:vAlign w:val="center"/>
          </w:tcPr>
          <w:p>
            <w:pPr>
              <w:pStyle w:val="12"/>
            </w:pPr>
            <w:r>
              <w:t>促进非公有制经济人士健康成长</w:t>
            </w:r>
          </w:p>
        </w:tc>
        <w:tc>
          <w:tcPr>
            <w:tcW w:w="2268" w:type="dxa"/>
            <w:vAlign w:val="center"/>
          </w:tcPr>
          <w:p>
            <w:pPr>
              <w:pStyle w:val="12"/>
            </w:pPr>
            <w:r>
              <w:t>逐步提升</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≥90百分比</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3、2024年度港澳台交流绩效目标表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13090024P00020910002J</w:t>
            </w:r>
          </w:p>
        </w:tc>
        <w:tc>
          <w:tcPr>
            <w:tcW w:w="2835" w:type="dxa"/>
            <w:vAlign w:val="center"/>
          </w:tcPr>
          <w:p>
            <w:pPr>
              <w:pStyle w:val="10"/>
            </w:pPr>
            <w:r>
              <w:t>项目名称</w:t>
            </w:r>
          </w:p>
        </w:tc>
        <w:tc>
          <w:tcPr>
            <w:tcW w:w="6094" w:type="dxa"/>
            <w:gridSpan w:val="3"/>
            <w:vAlign w:val="center"/>
          </w:tcPr>
          <w:p>
            <w:pPr>
              <w:pStyle w:val="12"/>
            </w:pPr>
            <w:r>
              <w:t>2024年度港澳台交流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落实台胞同等待遇和各项惠台措施，开展温暖台企系列活动，防范化解涉台领域重大风险；印发相关文件、宣传材料等；召开涉台领域相关会议；针对在沧台胞健全联谊交友制度，利用传统节日定期走访慰问、谈心交心，开展座谈交流、考察调研、国情研修、社会服务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1.落实台胞同等待遇和各项惠台措施，开展温暖台企系列活动。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落实台胞同等待遇和各项惠台措施，开展温暖台企系列活动次数</w:t>
            </w:r>
          </w:p>
        </w:tc>
        <w:tc>
          <w:tcPr>
            <w:tcW w:w="5386" w:type="dxa"/>
            <w:vAlign w:val="center"/>
          </w:tcPr>
          <w:p>
            <w:pPr>
              <w:pStyle w:val="12"/>
            </w:pPr>
            <w:r>
              <w:t>落实台胞同等待遇和各项惠台措施，开展温暖台企系列活动次数</w:t>
            </w:r>
          </w:p>
        </w:tc>
        <w:tc>
          <w:tcPr>
            <w:tcW w:w="2268" w:type="dxa"/>
            <w:vAlign w:val="center"/>
          </w:tcPr>
          <w:p>
            <w:pPr>
              <w:pStyle w:val="12"/>
            </w:pPr>
            <w:r>
              <w:t>≥2次</w:t>
            </w:r>
          </w:p>
        </w:tc>
        <w:tc>
          <w:tcPr>
            <w:tcW w:w="1276" w:type="dxa"/>
            <w:vAlign w:val="center"/>
          </w:tcPr>
          <w:p>
            <w:pPr>
              <w:pStyle w:val="12"/>
              <w:rPr>
                <w:rFonts w:hint="eastAsia" w:eastAsia="方正书宋_GBK"/>
                <w:lang w:eastAsia="zh-CN"/>
              </w:rPr>
            </w:pPr>
            <w:r>
              <w:rPr>
                <w:rFonts w:hint="eastAsia"/>
                <w:lang w:eastAsia="zh-CN"/>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活动效果评价</w:t>
            </w:r>
          </w:p>
        </w:tc>
        <w:tc>
          <w:tcPr>
            <w:tcW w:w="5386" w:type="dxa"/>
            <w:vAlign w:val="center"/>
          </w:tcPr>
          <w:p>
            <w:pPr>
              <w:pStyle w:val="12"/>
            </w:pPr>
            <w:r>
              <w:t>活动效果评价</w:t>
            </w:r>
          </w:p>
        </w:tc>
        <w:tc>
          <w:tcPr>
            <w:tcW w:w="2268" w:type="dxa"/>
            <w:vAlign w:val="center"/>
          </w:tcPr>
          <w:p>
            <w:pPr>
              <w:pStyle w:val="12"/>
            </w:pPr>
            <w:r>
              <w:t>≥90百分比</w:t>
            </w:r>
          </w:p>
        </w:tc>
        <w:tc>
          <w:tcPr>
            <w:tcW w:w="1276" w:type="dxa"/>
            <w:vAlign w:val="center"/>
          </w:tcPr>
          <w:p>
            <w:pPr>
              <w:pStyle w:val="12"/>
            </w:pPr>
            <w:r>
              <w:rPr>
                <w:rFonts w:hint="eastAsia"/>
                <w:lang w:eastAsia="zh-CN"/>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1年内</w:t>
            </w:r>
          </w:p>
        </w:tc>
        <w:tc>
          <w:tcPr>
            <w:tcW w:w="1276" w:type="dxa"/>
            <w:vAlign w:val="center"/>
          </w:tcPr>
          <w:p>
            <w:pPr>
              <w:pStyle w:val="12"/>
            </w:pPr>
            <w:r>
              <w:rPr>
                <w:rFonts w:hint="eastAsia"/>
                <w:lang w:eastAsia="zh-CN"/>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≤20万元</w:t>
            </w:r>
          </w:p>
        </w:tc>
        <w:tc>
          <w:tcPr>
            <w:tcW w:w="1276" w:type="dxa"/>
            <w:vAlign w:val="center"/>
          </w:tcPr>
          <w:p>
            <w:pPr>
              <w:pStyle w:val="12"/>
            </w:pPr>
            <w:r>
              <w:rPr>
                <w:rFonts w:hint="eastAsia"/>
                <w:lang w:eastAsia="zh-CN"/>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开展温暖台企系列活动</w:t>
            </w:r>
          </w:p>
        </w:tc>
        <w:tc>
          <w:tcPr>
            <w:tcW w:w="5386" w:type="dxa"/>
            <w:vAlign w:val="center"/>
          </w:tcPr>
          <w:p>
            <w:pPr>
              <w:pStyle w:val="12"/>
            </w:pPr>
            <w:r>
              <w:t>开展温暖台企系列活动</w:t>
            </w:r>
          </w:p>
        </w:tc>
        <w:tc>
          <w:tcPr>
            <w:tcW w:w="2268" w:type="dxa"/>
            <w:vAlign w:val="center"/>
          </w:tcPr>
          <w:p>
            <w:pPr>
              <w:pStyle w:val="12"/>
            </w:pPr>
            <w:r>
              <w:t>逐步提升</w:t>
            </w:r>
          </w:p>
        </w:tc>
        <w:tc>
          <w:tcPr>
            <w:tcW w:w="1276" w:type="dxa"/>
            <w:vAlign w:val="center"/>
          </w:tcPr>
          <w:p>
            <w:pPr>
              <w:pStyle w:val="12"/>
            </w:pPr>
            <w:r>
              <w:rPr>
                <w:rFonts w:hint="eastAsia"/>
                <w:lang w:eastAsia="zh-CN"/>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≥90百分比</w:t>
            </w:r>
          </w:p>
        </w:tc>
        <w:tc>
          <w:tcPr>
            <w:tcW w:w="1276" w:type="dxa"/>
            <w:vAlign w:val="center"/>
          </w:tcPr>
          <w:p>
            <w:pPr>
              <w:pStyle w:val="12"/>
            </w:pPr>
            <w:r>
              <w:rPr>
                <w:rFonts w:hint="eastAsia"/>
                <w:lang w:eastAsia="zh-CN"/>
              </w:rP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4、2024年度民主党派和党外干部工作经费绩效目标表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13090024P000218100024</w:t>
            </w:r>
          </w:p>
        </w:tc>
        <w:tc>
          <w:tcPr>
            <w:tcW w:w="2835" w:type="dxa"/>
            <w:vAlign w:val="center"/>
          </w:tcPr>
          <w:p>
            <w:pPr>
              <w:pStyle w:val="10"/>
            </w:pPr>
            <w:r>
              <w:t>项目名称</w:t>
            </w:r>
          </w:p>
        </w:tc>
        <w:tc>
          <w:tcPr>
            <w:tcW w:w="6094" w:type="dxa"/>
            <w:gridSpan w:val="3"/>
            <w:vAlign w:val="center"/>
          </w:tcPr>
          <w:p>
            <w:pPr>
              <w:pStyle w:val="12"/>
            </w:pPr>
            <w:r>
              <w:t>2024年度民主党派和党外干部工作经费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举办民主党派骨干成员培训班等；印发沧州市党外代表人士座谈会、沧州市季度协商座谈会、民主党派和党外干部培训宣传资料等；围绕参政党建设和党外干部培养使用等对民主党派市级组织和各基层支部、各县（市、区）进行调研走访、座谈，加日常协调、支持引导各民主党派、党外干部等群体围绕沧州经济社会高质量发展有序开展调查研究，为市委市政府科学决策提供科学依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1.加强民主党派代表人士和党外干部思想政治引领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支持引导各民主党派、党外干部等开展调研次数</w:t>
            </w:r>
          </w:p>
        </w:tc>
        <w:tc>
          <w:tcPr>
            <w:tcW w:w="5386" w:type="dxa"/>
            <w:vAlign w:val="center"/>
          </w:tcPr>
          <w:p>
            <w:pPr>
              <w:pStyle w:val="12"/>
            </w:pPr>
            <w:r>
              <w:t>支持引导各民主党派、党外干部等开展调研次数</w:t>
            </w:r>
          </w:p>
        </w:tc>
        <w:tc>
          <w:tcPr>
            <w:tcW w:w="2268" w:type="dxa"/>
            <w:vAlign w:val="center"/>
          </w:tcPr>
          <w:p>
            <w:pPr>
              <w:pStyle w:val="12"/>
            </w:pPr>
            <w:r>
              <w:t>≥3次</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开展调研成果</w:t>
            </w:r>
          </w:p>
        </w:tc>
        <w:tc>
          <w:tcPr>
            <w:tcW w:w="5386" w:type="dxa"/>
            <w:vAlign w:val="center"/>
          </w:tcPr>
          <w:p>
            <w:pPr>
              <w:pStyle w:val="12"/>
            </w:pPr>
            <w:r>
              <w:t>开展调研成果</w:t>
            </w:r>
          </w:p>
        </w:tc>
        <w:tc>
          <w:tcPr>
            <w:tcW w:w="2268" w:type="dxa"/>
            <w:vAlign w:val="center"/>
          </w:tcPr>
          <w:p>
            <w:pPr>
              <w:pStyle w:val="12"/>
            </w:pPr>
            <w:r>
              <w:t>≥90百分比</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1年内</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≤10万元</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p>
          <w:p>
            <w:pPr>
              <w:pStyle w:val="12"/>
            </w:pPr>
            <w:r>
              <w:t>加强民主党派代表人士和党外干部思想政治引领</w:t>
            </w:r>
          </w:p>
        </w:tc>
        <w:tc>
          <w:tcPr>
            <w:tcW w:w="5386" w:type="dxa"/>
            <w:vAlign w:val="center"/>
          </w:tcPr>
          <w:p>
            <w:pPr>
              <w:pStyle w:val="12"/>
            </w:pPr>
          </w:p>
          <w:p>
            <w:pPr>
              <w:pStyle w:val="12"/>
            </w:pPr>
            <w:r>
              <w:t>加强民主党派代表人士和党外干部思想政治引领</w:t>
            </w:r>
          </w:p>
        </w:tc>
        <w:tc>
          <w:tcPr>
            <w:tcW w:w="2268" w:type="dxa"/>
            <w:vAlign w:val="center"/>
          </w:tcPr>
          <w:p>
            <w:pPr>
              <w:pStyle w:val="12"/>
            </w:pPr>
            <w:r>
              <w:t>逐步加强</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≥90百分比</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5、2024年度侨务工作经费绩效目标表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13090024P000212100022</w:t>
            </w:r>
          </w:p>
        </w:tc>
        <w:tc>
          <w:tcPr>
            <w:tcW w:w="2835" w:type="dxa"/>
            <w:vAlign w:val="center"/>
          </w:tcPr>
          <w:p>
            <w:pPr>
              <w:pStyle w:val="10"/>
            </w:pPr>
            <w:r>
              <w:t>项目名称</w:t>
            </w:r>
          </w:p>
        </w:tc>
        <w:tc>
          <w:tcPr>
            <w:tcW w:w="6094" w:type="dxa"/>
            <w:gridSpan w:val="3"/>
            <w:vAlign w:val="center"/>
          </w:tcPr>
          <w:p>
            <w:pPr>
              <w:pStyle w:val="12"/>
            </w:pPr>
            <w:r>
              <w:t>2024年度侨务工作经费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rPr>
                <w:rFonts w:hint="eastAsia" w:eastAsia="方正书宋_GBK"/>
                <w:lang w:eastAsia="zh-CN"/>
              </w:rPr>
            </w:pPr>
            <w:r>
              <w:rPr>
                <w:rFonts w:hint="eastAsia"/>
                <w:lang w:eastAsia="zh-CN"/>
              </w:rPr>
              <w:t>继</w:t>
            </w:r>
            <w:r>
              <w:t>续与海外华文媒体开展文化交流；印发海外统战和侨务工作相关通知、文件材料、侨法宣传材料；年内组织各县（市、区）统战部长和市海外统战工作协作机制成员培训；对市县两级海外统战和侨务工作领域重大课题、问题进行调研走访，加强对侨界代表人士联系</w:t>
            </w:r>
            <w:r>
              <w:rPr>
                <w:rFonts w:hint="eastAsia"/>
                <w:lang w:eastAsia="zh-CN"/>
              </w:rPr>
              <w:t>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1.提高侨务工作水平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开展活动次数</w:t>
            </w:r>
          </w:p>
        </w:tc>
        <w:tc>
          <w:tcPr>
            <w:tcW w:w="5386" w:type="dxa"/>
            <w:vAlign w:val="center"/>
          </w:tcPr>
          <w:p>
            <w:pPr>
              <w:pStyle w:val="12"/>
            </w:pPr>
            <w:r>
              <w:t>开展活动次数</w:t>
            </w:r>
          </w:p>
        </w:tc>
        <w:tc>
          <w:tcPr>
            <w:tcW w:w="2268" w:type="dxa"/>
            <w:vAlign w:val="center"/>
          </w:tcPr>
          <w:p>
            <w:pPr>
              <w:pStyle w:val="12"/>
            </w:pPr>
            <w:r>
              <w:t>≥2次</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活动完成率</w:t>
            </w:r>
          </w:p>
        </w:tc>
        <w:tc>
          <w:tcPr>
            <w:tcW w:w="2268" w:type="dxa"/>
            <w:vAlign w:val="center"/>
          </w:tcPr>
          <w:p>
            <w:pPr>
              <w:pStyle w:val="12"/>
            </w:pPr>
            <w:r>
              <w:t>≥90百分比</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1年内</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≤30万元</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提升侨务工作水平</w:t>
            </w:r>
          </w:p>
        </w:tc>
        <w:tc>
          <w:tcPr>
            <w:tcW w:w="5386" w:type="dxa"/>
            <w:vAlign w:val="center"/>
          </w:tcPr>
          <w:p>
            <w:pPr>
              <w:pStyle w:val="12"/>
            </w:pPr>
            <w:r>
              <w:t>提升侨务工作水平</w:t>
            </w:r>
          </w:p>
        </w:tc>
        <w:tc>
          <w:tcPr>
            <w:tcW w:w="2268" w:type="dxa"/>
            <w:vAlign w:val="center"/>
          </w:tcPr>
          <w:p>
            <w:pPr>
              <w:pStyle w:val="12"/>
            </w:pPr>
            <w:r>
              <w:t>逐步提升</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≥90百分比</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6、2024年度统战干部培训绩效目标表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13090024P00021610002Q</w:t>
            </w:r>
          </w:p>
        </w:tc>
        <w:tc>
          <w:tcPr>
            <w:tcW w:w="2835" w:type="dxa"/>
            <w:vAlign w:val="center"/>
          </w:tcPr>
          <w:p>
            <w:pPr>
              <w:pStyle w:val="10"/>
            </w:pPr>
            <w:r>
              <w:t>项目名称</w:t>
            </w:r>
          </w:p>
        </w:tc>
        <w:tc>
          <w:tcPr>
            <w:tcW w:w="6094" w:type="dxa"/>
            <w:gridSpan w:val="3"/>
            <w:vAlign w:val="center"/>
          </w:tcPr>
          <w:p>
            <w:pPr>
              <w:pStyle w:val="12"/>
            </w:pPr>
            <w:r>
              <w:t>2024年度统战干部培训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围绕学习贯彻习近平总书记关于加强和改进统一战线工作的重要思想和党的二十大精神开设统战大讲堂暨统战干部能力提升培训班，实现基层统战干部培训全覆盖。按照450元/人·天标准，每次培训2天，每次50人左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1.提升统战干部整体素质。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培训次数</w:t>
            </w:r>
          </w:p>
        </w:tc>
        <w:tc>
          <w:tcPr>
            <w:tcW w:w="5386" w:type="dxa"/>
            <w:vAlign w:val="center"/>
          </w:tcPr>
          <w:p>
            <w:pPr>
              <w:pStyle w:val="12"/>
            </w:pPr>
            <w:r>
              <w:t>培训次数</w:t>
            </w:r>
          </w:p>
        </w:tc>
        <w:tc>
          <w:tcPr>
            <w:tcW w:w="2268" w:type="dxa"/>
            <w:vAlign w:val="center"/>
          </w:tcPr>
          <w:p>
            <w:pPr>
              <w:pStyle w:val="12"/>
            </w:pPr>
            <w:r>
              <w:t>≥2次</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培训按期完成率</w:t>
            </w:r>
          </w:p>
        </w:tc>
        <w:tc>
          <w:tcPr>
            <w:tcW w:w="5386" w:type="dxa"/>
            <w:vAlign w:val="center"/>
          </w:tcPr>
          <w:p>
            <w:pPr>
              <w:pStyle w:val="12"/>
            </w:pPr>
            <w:r>
              <w:t>培训按期完成率</w:t>
            </w:r>
          </w:p>
        </w:tc>
        <w:tc>
          <w:tcPr>
            <w:tcW w:w="2268" w:type="dxa"/>
            <w:vAlign w:val="center"/>
          </w:tcPr>
          <w:p>
            <w:pPr>
              <w:pStyle w:val="12"/>
            </w:pPr>
            <w:r>
              <w:t>≥95百分比</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培训完成时间</w:t>
            </w:r>
          </w:p>
        </w:tc>
        <w:tc>
          <w:tcPr>
            <w:tcW w:w="5386" w:type="dxa"/>
            <w:vAlign w:val="center"/>
          </w:tcPr>
          <w:p>
            <w:pPr>
              <w:pStyle w:val="12"/>
            </w:pPr>
            <w:r>
              <w:t>培训完成时间</w:t>
            </w:r>
          </w:p>
        </w:tc>
        <w:tc>
          <w:tcPr>
            <w:tcW w:w="2268" w:type="dxa"/>
            <w:vAlign w:val="center"/>
          </w:tcPr>
          <w:p>
            <w:pPr>
              <w:pStyle w:val="12"/>
            </w:pPr>
            <w:r>
              <w:t>1年内</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≤12万元</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提升统战干部水平</w:t>
            </w:r>
          </w:p>
        </w:tc>
        <w:tc>
          <w:tcPr>
            <w:tcW w:w="5386" w:type="dxa"/>
            <w:vAlign w:val="center"/>
          </w:tcPr>
          <w:p>
            <w:pPr>
              <w:pStyle w:val="12"/>
            </w:pPr>
            <w:r>
              <w:t>提升统战干部水平</w:t>
            </w:r>
          </w:p>
        </w:tc>
        <w:tc>
          <w:tcPr>
            <w:tcW w:w="2268" w:type="dxa"/>
            <w:vAlign w:val="center"/>
          </w:tcPr>
          <w:p>
            <w:pPr>
              <w:pStyle w:val="12"/>
            </w:pPr>
            <w:r>
              <w:t>逐步提升</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≥90百分比</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7、2024年度统战工作协调绩效目标表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13090024P00021710002E</w:t>
            </w:r>
          </w:p>
        </w:tc>
        <w:tc>
          <w:tcPr>
            <w:tcW w:w="2835" w:type="dxa"/>
            <w:vAlign w:val="center"/>
          </w:tcPr>
          <w:p>
            <w:pPr>
              <w:pStyle w:val="10"/>
            </w:pPr>
            <w:r>
              <w:t>项目名称</w:t>
            </w:r>
          </w:p>
        </w:tc>
        <w:tc>
          <w:tcPr>
            <w:tcW w:w="6094" w:type="dxa"/>
            <w:gridSpan w:val="3"/>
            <w:vAlign w:val="center"/>
          </w:tcPr>
          <w:p>
            <w:pPr>
              <w:pStyle w:val="12"/>
            </w:pPr>
            <w:r>
              <w:t>2024年度统战工作协调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年内召开市委统战工作领导小组</w:t>
            </w:r>
            <w:r>
              <w:rPr>
                <w:rFonts w:hint="eastAsia"/>
                <w:lang w:eastAsia="zh-CN"/>
              </w:rPr>
              <w:t>相关</w:t>
            </w:r>
            <w:r>
              <w:t>会议；对市县两级统战领域重大课题、问题进行调研走访、座谈，加强对党外代表人士联系；印发市委统战工作领导小组成员单位相关通知和其他文件材料；市委统战工作领导小组办公室日常协调、督促指导各成员单位开展全市统战领域重点难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1.构建大统战工作格局。</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领导小组开展工作次数</w:t>
            </w:r>
          </w:p>
        </w:tc>
        <w:tc>
          <w:tcPr>
            <w:tcW w:w="5386" w:type="dxa"/>
            <w:vAlign w:val="center"/>
          </w:tcPr>
          <w:p>
            <w:pPr>
              <w:pStyle w:val="12"/>
            </w:pPr>
            <w:r>
              <w:t>领导小组开展工作次数</w:t>
            </w:r>
          </w:p>
        </w:tc>
        <w:tc>
          <w:tcPr>
            <w:tcW w:w="2268" w:type="dxa"/>
            <w:vAlign w:val="center"/>
          </w:tcPr>
          <w:p>
            <w:pPr>
              <w:pStyle w:val="12"/>
            </w:pPr>
            <w:r>
              <w:t>≥2次</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工作开展效果</w:t>
            </w:r>
          </w:p>
        </w:tc>
        <w:tc>
          <w:tcPr>
            <w:tcW w:w="5386" w:type="dxa"/>
            <w:vAlign w:val="center"/>
          </w:tcPr>
          <w:p>
            <w:pPr>
              <w:pStyle w:val="12"/>
            </w:pPr>
            <w:r>
              <w:t>工作开展效果</w:t>
            </w:r>
          </w:p>
        </w:tc>
        <w:tc>
          <w:tcPr>
            <w:tcW w:w="2268" w:type="dxa"/>
            <w:vAlign w:val="center"/>
          </w:tcPr>
          <w:p>
            <w:pPr>
              <w:pStyle w:val="12"/>
            </w:pPr>
            <w:r>
              <w:t>≥95百分比</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1年内</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≤10万元</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构建大统战工作格局</w:t>
            </w:r>
          </w:p>
        </w:tc>
        <w:tc>
          <w:tcPr>
            <w:tcW w:w="5386" w:type="dxa"/>
            <w:vAlign w:val="center"/>
          </w:tcPr>
          <w:p>
            <w:pPr>
              <w:pStyle w:val="12"/>
            </w:pPr>
            <w:r>
              <w:t>构建大统战工作格局</w:t>
            </w:r>
          </w:p>
        </w:tc>
        <w:tc>
          <w:tcPr>
            <w:tcW w:w="2268" w:type="dxa"/>
            <w:vAlign w:val="center"/>
          </w:tcPr>
          <w:p>
            <w:pPr>
              <w:pStyle w:val="12"/>
            </w:pPr>
            <w:r>
              <w:t>逐步提升</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≥90百分比</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8、2024年度统战信息宣传调研工作绩效目标表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13090024P00021410002D</w:t>
            </w:r>
          </w:p>
        </w:tc>
        <w:tc>
          <w:tcPr>
            <w:tcW w:w="2835" w:type="dxa"/>
            <w:vAlign w:val="center"/>
          </w:tcPr>
          <w:p>
            <w:pPr>
              <w:pStyle w:val="10"/>
            </w:pPr>
            <w:r>
              <w:t>项目名称</w:t>
            </w:r>
          </w:p>
        </w:tc>
        <w:tc>
          <w:tcPr>
            <w:tcW w:w="6094" w:type="dxa"/>
            <w:gridSpan w:val="3"/>
            <w:vAlign w:val="center"/>
          </w:tcPr>
          <w:p>
            <w:pPr>
              <w:pStyle w:val="12"/>
            </w:pPr>
            <w:r>
              <w:t>2024年度统战信息宣传调研工作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与沧州日报社合作利用《沧州日报》等媒体宣传党的统一战线工作；委托第三方对中共沧州市委统一战线工作部网站、沧州统一战线微信公众号进行技术支持维护；与第三方新媒体机构开展长期合作，通过拍摄、制作、发布各类音视频及图文作品，举办各类知识竞赛、作品评选等活动，开展思想引领、政策宣传、成果展示等工作；组织各级统战干部赴先进地区开展统战信息宣传调研工作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1.扩大沧州统一战线影响力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宣传活动次数</w:t>
            </w:r>
          </w:p>
        </w:tc>
        <w:tc>
          <w:tcPr>
            <w:tcW w:w="5386" w:type="dxa"/>
            <w:vAlign w:val="center"/>
          </w:tcPr>
          <w:p>
            <w:pPr>
              <w:pStyle w:val="12"/>
            </w:pPr>
            <w:r>
              <w:t>宣传活动次数</w:t>
            </w:r>
          </w:p>
        </w:tc>
        <w:tc>
          <w:tcPr>
            <w:tcW w:w="2268" w:type="dxa"/>
            <w:vAlign w:val="center"/>
          </w:tcPr>
          <w:p>
            <w:pPr>
              <w:pStyle w:val="12"/>
            </w:pPr>
            <w:r>
              <w:t>≥10次</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宣传目标完成率</w:t>
            </w:r>
          </w:p>
        </w:tc>
        <w:tc>
          <w:tcPr>
            <w:tcW w:w="5386" w:type="dxa"/>
            <w:vAlign w:val="center"/>
          </w:tcPr>
          <w:p>
            <w:pPr>
              <w:pStyle w:val="12"/>
            </w:pPr>
            <w:r>
              <w:t>宣传目标完成率</w:t>
            </w:r>
          </w:p>
        </w:tc>
        <w:tc>
          <w:tcPr>
            <w:tcW w:w="2268" w:type="dxa"/>
            <w:vAlign w:val="center"/>
          </w:tcPr>
          <w:p>
            <w:pPr>
              <w:pStyle w:val="12"/>
            </w:pPr>
            <w:r>
              <w:t>≥95百分比</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1年内</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≤20万元</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提升沧州统一战线影响力</w:t>
            </w:r>
          </w:p>
        </w:tc>
        <w:tc>
          <w:tcPr>
            <w:tcW w:w="5386" w:type="dxa"/>
            <w:vAlign w:val="center"/>
          </w:tcPr>
          <w:p>
            <w:pPr>
              <w:pStyle w:val="12"/>
            </w:pPr>
            <w:r>
              <w:t>提升沧州统一战线影响力</w:t>
            </w:r>
          </w:p>
        </w:tc>
        <w:tc>
          <w:tcPr>
            <w:tcW w:w="2268" w:type="dxa"/>
            <w:vAlign w:val="center"/>
          </w:tcPr>
          <w:p>
            <w:pPr>
              <w:pStyle w:val="12"/>
            </w:pPr>
            <w:r>
              <w:t>逐步提升</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≥90百分比</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9、2024年度退休归侨职工补贴绩效目标表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13090024P00021910002R</w:t>
            </w:r>
          </w:p>
        </w:tc>
        <w:tc>
          <w:tcPr>
            <w:tcW w:w="2835" w:type="dxa"/>
            <w:vAlign w:val="center"/>
          </w:tcPr>
          <w:p>
            <w:pPr>
              <w:pStyle w:val="10"/>
            </w:pPr>
            <w:r>
              <w:t>项目名称</w:t>
            </w:r>
          </w:p>
        </w:tc>
        <w:tc>
          <w:tcPr>
            <w:tcW w:w="6094" w:type="dxa"/>
            <w:gridSpan w:val="3"/>
            <w:vAlign w:val="center"/>
          </w:tcPr>
          <w:p>
            <w:pPr>
              <w:pStyle w:val="12"/>
            </w:pPr>
            <w:r>
              <w:t>2024年度退休归侨职工补贴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4.90</w:t>
            </w:r>
          </w:p>
        </w:tc>
        <w:tc>
          <w:tcPr>
            <w:tcW w:w="2835" w:type="dxa"/>
            <w:vAlign w:val="center"/>
          </w:tcPr>
          <w:p>
            <w:pPr>
              <w:pStyle w:val="10"/>
            </w:pPr>
            <w:r>
              <w:t>其中：财政    资金</w:t>
            </w:r>
          </w:p>
        </w:tc>
        <w:tc>
          <w:tcPr>
            <w:tcW w:w="2551" w:type="dxa"/>
            <w:vAlign w:val="center"/>
          </w:tcPr>
          <w:p>
            <w:pPr>
              <w:pStyle w:val="12"/>
            </w:pPr>
            <w:r>
              <w:t>4.90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退休归侨职工生活补贴每人按照1200元/年标准发放，人员每年变化。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1.完成沧州市退休归侨职工补贴发放。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补贴发放人数</w:t>
            </w:r>
          </w:p>
        </w:tc>
        <w:tc>
          <w:tcPr>
            <w:tcW w:w="5386" w:type="dxa"/>
            <w:vAlign w:val="center"/>
          </w:tcPr>
          <w:p>
            <w:pPr>
              <w:pStyle w:val="12"/>
            </w:pPr>
            <w:r>
              <w:t>补贴发放人数</w:t>
            </w:r>
          </w:p>
        </w:tc>
        <w:tc>
          <w:tcPr>
            <w:tcW w:w="2268" w:type="dxa"/>
            <w:vAlign w:val="center"/>
          </w:tcPr>
          <w:p>
            <w:pPr>
              <w:pStyle w:val="12"/>
            </w:pPr>
            <w:r>
              <w:t>≥30次</w:t>
            </w:r>
          </w:p>
        </w:tc>
        <w:tc>
          <w:tcPr>
            <w:tcW w:w="1276" w:type="dxa"/>
            <w:vAlign w:val="center"/>
          </w:tcPr>
          <w:p>
            <w:pPr>
              <w:pStyle w:val="12"/>
            </w:pPr>
            <w:r>
              <w:t>沧人社字〔2010〕250号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发放及时率</w:t>
            </w:r>
          </w:p>
        </w:tc>
        <w:tc>
          <w:tcPr>
            <w:tcW w:w="5386" w:type="dxa"/>
            <w:vAlign w:val="center"/>
          </w:tcPr>
          <w:p>
            <w:pPr>
              <w:pStyle w:val="12"/>
            </w:pPr>
            <w:r>
              <w:t>发放及时率</w:t>
            </w:r>
          </w:p>
        </w:tc>
        <w:tc>
          <w:tcPr>
            <w:tcW w:w="2268" w:type="dxa"/>
            <w:vAlign w:val="center"/>
          </w:tcPr>
          <w:p>
            <w:pPr>
              <w:pStyle w:val="12"/>
            </w:pPr>
            <w:r>
              <w:t>≥90百分比</w:t>
            </w:r>
          </w:p>
        </w:tc>
        <w:tc>
          <w:tcPr>
            <w:tcW w:w="1276" w:type="dxa"/>
            <w:vAlign w:val="center"/>
          </w:tcPr>
          <w:p>
            <w:pPr>
              <w:pStyle w:val="12"/>
            </w:pPr>
            <w:r>
              <w:t>沧人社字〔2010〕250号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〈12月</w:t>
            </w:r>
          </w:p>
        </w:tc>
        <w:tc>
          <w:tcPr>
            <w:tcW w:w="1276" w:type="dxa"/>
            <w:vAlign w:val="center"/>
          </w:tcPr>
          <w:p>
            <w:pPr>
              <w:pStyle w:val="12"/>
            </w:pPr>
            <w:r>
              <w:t>沧人社字〔2010〕250号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≤4.9万元</w:t>
            </w:r>
          </w:p>
        </w:tc>
        <w:tc>
          <w:tcPr>
            <w:tcW w:w="1276" w:type="dxa"/>
            <w:vAlign w:val="center"/>
          </w:tcPr>
          <w:p>
            <w:pPr>
              <w:pStyle w:val="12"/>
            </w:pPr>
            <w:r>
              <w:t>沧人社字〔2010〕250号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落实相关政策，确保群体稳定</w:t>
            </w:r>
          </w:p>
        </w:tc>
        <w:tc>
          <w:tcPr>
            <w:tcW w:w="5386" w:type="dxa"/>
            <w:vAlign w:val="center"/>
          </w:tcPr>
          <w:p>
            <w:pPr>
              <w:pStyle w:val="12"/>
            </w:pPr>
            <w:r>
              <w:t>落实相关政策，确保群体稳定</w:t>
            </w:r>
          </w:p>
        </w:tc>
        <w:tc>
          <w:tcPr>
            <w:tcW w:w="2268" w:type="dxa"/>
            <w:vAlign w:val="center"/>
          </w:tcPr>
          <w:p>
            <w:pPr>
              <w:pStyle w:val="12"/>
            </w:pPr>
            <w:r>
              <w:t>落实政策</w:t>
            </w:r>
          </w:p>
        </w:tc>
        <w:tc>
          <w:tcPr>
            <w:tcW w:w="1276" w:type="dxa"/>
            <w:vAlign w:val="center"/>
          </w:tcPr>
          <w:p>
            <w:pPr>
              <w:pStyle w:val="12"/>
            </w:pPr>
            <w:r>
              <w:t>沧人社字〔2010〕250号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≥90百分比</w:t>
            </w:r>
          </w:p>
        </w:tc>
        <w:tc>
          <w:tcPr>
            <w:tcW w:w="1276" w:type="dxa"/>
            <w:vAlign w:val="center"/>
          </w:tcPr>
          <w:p>
            <w:pPr>
              <w:pStyle w:val="12"/>
            </w:pPr>
            <w:r>
              <w:t>沧人社字〔2010〕250号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10、2024年度无党派人士、党外知识分子和新的社会阶层人士工作经费绩效目标表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13090024P00022010002X</w:t>
            </w:r>
          </w:p>
        </w:tc>
        <w:tc>
          <w:tcPr>
            <w:tcW w:w="2835" w:type="dxa"/>
            <w:vAlign w:val="center"/>
          </w:tcPr>
          <w:p>
            <w:pPr>
              <w:pStyle w:val="10"/>
            </w:pPr>
            <w:r>
              <w:t>项目名称</w:t>
            </w:r>
          </w:p>
        </w:tc>
        <w:tc>
          <w:tcPr>
            <w:tcW w:w="6094" w:type="dxa"/>
            <w:gridSpan w:val="3"/>
            <w:vAlign w:val="center"/>
          </w:tcPr>
          <w:p>
            <w:pPr>
              <w:pStyle w:val="12"/>
            </w:pPr>
            <w:r>
              <w:t>2024年度无党派人士、党外知识分子和新的社会阶层人士工作经费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围绕贯彻落实习近平新时代中国特色社会主义思想和党的二十大精神，组织全市无党派人士、党外知识分子和新的社会阶层人士开展学习培训。按照450元人·天标准，每次30人左右；实施新的社会阶层人士统战工作实践创新基地“精品工程”；加强联谊组织建设，常态化开展知联会、新联会会长办公会、“联心访”系列活动，提升组织凝聚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1.提升党外知识分子统战、新的社会阶层人士统战工作水平，加强思想政治引领。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组织全市无党派人士、党外知识分子和新的社会阶层人士开展学习次数</w:t>
            </w:r>
          </w:p>
        </w:tc>
        <w:tc>
          <w:tcPr>
            <w:tcW w:w="5386" w:type="dxa"/>
            <w:vAlign w:val="center"/>
          </w:tcPr>
          <w:p>
            <w:pPr>
              <w:pStyle w:val="12"/>
            </w:pPr>
            <w:r>
              <w:t>市无党派人士、党外知识分子和新的社会阶层人士开展学习次数</w:t>
            </w:r>
          </w:p>
        </w:tc>
        <w:tc>
          <w:tcPr>
            <w:tcW w:w="2268" w:type="dxa"/>
            <w:vAlign w:val="center"/>
          </w:tcPr>
          <w:p>
            <w:pPr>
              <w:pStyle w:val="12"/>
            </w:pPr>
            <w:r>
              <w:t>≥2次</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学习培训效果</w:t>
            </w:r>
          </w:p>
        </w:tc>
        <w:tc>
          <w:tcPr>
            <w:tcW w:w="5386" w:type="dxa"/>
            <w:vAlign w:val="center"/>
          </w:tcPr>
          <w:p>
            <w:pPr>
              <w:pStyle w:val="12"/>
            </w:pPr>
            <w:r>
              <w:t>学习培训效果</w:t>
            </w:r>
          </w:p>
        </w:tc>
        <w:tc>
          <w:tcPr>
            <w:tcW w:w="2268" w:type="dxa"/>
            <w:vAlign w:val="center"/>
          </w:tcPr>
          <w:p>
            <w:pPr>
              <w:pStyle w:val="12"/>
            </w:pPr>
            <w:r>
              <w:t>≥97百分比</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学习完成时间</w:t>
            </w:r>
          </w:p>
        </w:tc>
        <w:tc>
          <w:tcPr>
            <w:tcW w:w="5386" w:type="dxa"/>
            <w:vAlign w:val="center"/>
          </w:tcPr>
          <w:p>
            <w:pPr>
              <w:pStyle w:val="12"/>
            </w:pPr>
            <w:r>
              <w:t>学习完成时间</w:t>
            </w:r>
          </w:p>
        </w:tc>
        <w:tc>
          <w:tcPr>
            <w:tcW w:w="2268" w:type="dxa"/>
            <w:vAlign w:val="center"/>
          </w:tcPr>
          <w:p>
            <w:pPr>
              <w:pStyle w:val="12"/>
            </w:pPr>
            <w:r>
              <w:t>1年内</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≤15万元</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加强思想政治引领</w:t>
            </w:r>
          </w:p>
        </w:tc>
        <w:tc>
          <w:tcPr>
            <w:tcW w:w="5386" w:type="dxa"/>
            <w:vAlign w:val="center"/>
          </w:tcPr>
          <w:p>
            <w:pPr>
              <w:pStyle w:val="12"/>
            </w:pPr>
            <w:r>
              <w:t>加强思想政治引领</w:t>
            </w:r>
          </w:p>
        </w:tc>
        <w:tc>
          <w:tcPr>
            <w:tcW w:w="2268" w:type="dxa"/>
            <w:vAlign w:val="center"/>
          </w:tcPr>
          <w:p>
            <w:pPr>
              <w:pStyle w:val="12"/>
            </w:pPr>
            <w:r>
              <w:t>逐步提升</w:t>
            </w:r>
          </w:p>
          <w:p>
            <w:pPr>
              <w:pStyle w:val="12"/>
            </w:pP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≥95百分比</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11、"707"专项绩效目标表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13090024P00034110003D</w:t>
            </w:r>
          </w:p>
        </w:tc>
        <w:tc>
          <w:tcPr>
            <w:tcW w:w="2835" w:type="dxa"/>
            <w:vAlign w:val="center"/>
          </w:tcPr>
          <w:p>
            <w:pPr>
              <w:pStyle w:val="10"/>
            </w:pPr>
            <w:r>
              <w:t>项目名称</w:t>
            </w:r>
          </w:p>
        </w:tc>
        <w:tc>
          <w:tcPr>
            <w:tcW w:w="6094" w:type="dxa"/>
            <w:gridSpan w:val="3"/>
            <w:vAlign w:val="center"/>
          </w:tcPr>
          <w:p>
            <w:pPr>
              <w:pStyle w:val="12"/>
            </w:pPr>
            <w:r>
              <w:t>"707"专项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涉密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12、提前下达2024年省级基层宗教事务管理补助经费绩效目标表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13090024P00073610001A</w:t>
            </w:r>
          </w:p>
        </w:tc>
        <w:tc>
          <w:tcPr>
            <w:tcW w:w="2835" w:type="dxa"/>
            <w:vAlign w:val="center"/>
          </w:tcPr>
          <w:p>
            <w:pPr>
              <w:pStyle w:val="10"/>
            </w:pPr>
            <w:r>
              <w:t>项目名称</w:t>
            </w:r>
          </w:p>
        </w:tc>
        <w:tc>
          <w:tcPr>
            <w:tcW w:w="6094" w:type="dxa"/>
            <w:gridSpan w:val="3"/>
            <w:vAlign w:val="center"/>
          </w:tcPr>
          <w:p>
            <w:pPr>
              <w:pStyle w:val="12"/>
            </w:pPr>
            <w:r>
              <w:t>提前下达2024年省级基层宗教事务管理补助经费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涉密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13、专项整治工作和天主教综合治理经费绩效目标表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13090024P00082310002D</w:t>
            </w:r>
          </w:p>
        </w:tc>
        <w:tc>
          <w:tcPr>
            <w:tcW w:w="2835" w:type="dxa"/>
            <w:vAlign w:val="center"/>
          </w:tcPr>
          <w:p>
            <w:pPr>
              <w:pStyle w:val="10"/>
            </w:pPr>
            <w:r>
              <w:t>项目名称</w:t>
            </w:r>
          </w:p>
        </w:tc>
        <w:tc>
          <w:tcPr>
            <w:tcW w:w="6094" w:type="dxa"/>
            <w:gridSpan w:val="3"/>
            <w:vAlign w:val="center"/>
          </w:tcPr>
          <w:p>
            <w:pPr>
              <w:pStyle w:val="12"/>
            </w:pPr>
            <w:r>
              <w:t>专项整治工作和天主教综合治理经费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57.00</w:t>
            </w:r>
          </w:p>
        </w:tc>
        <w:tc>
          <w:tcPr>
            <w:tcW w:w="2835" w:type="dxa"/>
            <w:vAlign w:val="center"/>
          </w:tcPr>
          <w:p>
            <w:pPr>
              <w:pStyle w:val="10"/>
            </w:pPr>
            <w:r>
              <w:t>其中：财政    资金</w:t>
            </w:r>
          </w:p>
        </w:tc>
        <w:tc>
          <w:tcPr>
            <w:tcW w:w="2551" w:type="dxa"/>
            <w:vAlign w:val="center"/>
          </w:tcPr>
          <w:p>
            <w:pPr>
              <w:pStyle w:val="12"/>
            </w:pPr>
            <w:r>
              <w:t>57.00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涉密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203中国共产党沧州市委员会统战部</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中国共产党沧州市委员会统战部（含所属单位）上年末固定资产金额为216.43万元（详见下表）。本年度拟购置固定资产总额为0.00万元，已按要求列入政府采购预算，详见政府采购预算表。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203中国共产党沧州市委员会统战部</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216.43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218</w:t>
            </w:r>
          </w:p>
        </w:tc>
        <w:tc>
          <w:tcPr>
            <w:tcW w:w="2835"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188</w:t>
            </w:r>
          </w:p>
        </w:tc>
        <w:tc>
          <w:tcPr>
            <w:tcW w:w="2835" w:type="dxa"/>
            <w:vAlign w:val="center"/>
          </w:tcPr>
          <w:p>
            <w:pPr>
              <w:pStyle w:val="11"/>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41.63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34.29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315</w:t>
            </w:r>
          </w:p>
        </w:tc>
        <w:tc>
          <w:tcPr>
            <w:tcW w:w="2835" w:type="dxa"/>
            <w:vAlign w:val="center"/>
          </w:tcPr>
          <w:p>
            <w:pPr>
              <w:pStyle w:val="11"/>
            </w:pPr>
            <w:r>
              <w:t>133.51</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c3NjA0OTRiMmEyMzM0ODU2YzFhM2VmMzkyNTc4ZDQifQ=="/>
  </w:docVars>
  <w:rsids>
    <w:rsidRoot w:val="006175AD"/>
    <w:rsid w:val="002A1D63"/>
    <w:rsid w:val="002F5AEB"/>
    <w:rsid w:val="003F335E"/>
    <w:rsid w:val="0048650B"/>
    <w:rsid w:val="0057299A"/>
    <w:rsid w:val="00587660"/>
    <w:rsid w:val="005F5369"/>
    <w:rsid w:val="006175AD"/>
    <w:rsid w:val="00925F26"/>
    <w:rsid w:val="009406C5"/>
    <w:rsid w:val="009847B1"/>
    <w:rsid w:val="009A5856"/>
    <w:rsid w:val="00AA2F2C"/>
    <w:rsid w:val="00AD2097"/>
    <w:rsid w:val="00BC6665"/>
    <w:rsid w:val="00ED07AC"/>
    <w:rsid w:val="03AA6E09"/>
    <w:rsid w:val="047F0FEB"/>
    <w:rsid w:val="0D15430D"/>
    <w:rsid w:val="0FDA17CC"/>
    <w:rsid w:val="10A76A3B"/>
    <w:rsid w:val="16B05C14"/>
    <w:rsid w:val="1ADC27D6"/>
    <w:rsid w:val="20CC5161"/>
    <w:rsid w:val="227B0BEC"/>
    <w:rsid w:val="238845A4"/>
    <w:rsid w:val="27E92460"/>
    <w:rsid w:val="2A2B2A0A"/>
    <w:rsid w:val="32064560"/>
    <w:rsid w:val="34F211E2"/>
    <w:rsid w:val="38C84008"/>
    <w:rsid w:val="3A346673"/>
    <w:rsid w:val="3C2170C6"/>
    <w:rsid w:val="3C7B7229"/>
    <w:rsid w:val="41150A3E"/>
    <w:rsid w:val="41173D7E"/>
    <w:rsid w:val="41666792"/>
    <w:rsid w:val="4B0C4228"/>
    <w:rsid w:val="517C4B19"/>
    <w:rsid w:val="52181704"/>
    <w:rsid w:val="57122084"/>
    <w:rsid w:val="5A890FC2"/>
    <w:rsid w:val="5C693288"/>
    <w:rsid w:val="60CE70EA"/>
    <w:rsid w:val="619C5EAE"/>
    <w:rsid w:val="68407B2D"/>
    <w:rsid w:val="68B735CD"/>
    <w:rsid w:val="74C22E00"/>
    <w:rsid w:val="785F1ACD"/>
    <w:rsid w:val="7FDA0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9"/>
    <w:autoRedefine/>
    <w:semiHidden/>
    <w:unhideWhenUsed/>
    <w:qFormat/>
    <w:uiPriority w:val="99"/>
    <w:pPr>
      <w:tabs>
        <w:tab w:val="center" w:pos="4153"/>
        <w:tab w:val="right" w:pos="8306"/>
      </w:tabs>
      <w:snapToGrid w:val="0"/>
    </w:pPr>
    <w:rPr>
      <w:sz w:val="18"/>
      <w:szCs w:val="18"/>
    </w:rPr>
  </w:style>
  <w:style w:type="paragraph" w:styleId="3">
    <w:name w:val="header"/>
    <w:basedOn w:val="1"/>
    <w:link w:val="2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TOC 2"/>
    <w:basedOn w:val="1"/>
    <w:autoRedefine/>
    <w:qFormat/>
    <w:uiPriority w:val="0"/>
    <w:pPr>
      <w:ind w:left="240"/>
    </w:pPr>
  </w:style>
  <w:style w:type="paragraph" w:customStyle="1" w:styleId="26">
    <w:name w:val="TOC 3"/>
    <w:basedOn w:val="1"/>
    <w:autoRedefine/>
    <w:qFormat/>
    <w:uiPriority w:val="0"/>
    <w:pPr>
      <w:ind w:left="480"/>
    </w:pPr>
  </w:style>
  <w:style w:type="paragraph" w:customStyle="1" w:styleId="27">
    <w:name w:val="TOC 1"/>
    <w:basedOn w:val="1"/>
    <w:autoRedefine/>
    <w:qFormat/>
    <w:uiPriority w:val="0"/>
    <w:pPr>
      <w:spacing w:before="120"/>
      <w:ind w:firstLine="560"/>
    </w:pPr>
    <w:rPr>
      <w:rFonts w:eastAsia="方正仿宋_GBK"/>
      <w:color w:val="000000"/>
      <w:sz w:val="28"/>
    </w:rPr>
  </w:style>
  <w:style w:type="character" w:customStyle="1" w:styleId="28">
    <w:name w:val="页眉 Char"/>
    <w:basedOn w:val="6"/>
    <w:link w:val="3"/>
    <w:autoRedefine/>
    <w:semiHidden/>
    <w:qFormat/>
    <w:uiPriority w:val="99"/>
    <w:rPr>
      <w:rFonts w:eastAsia="Times New Roman"/>
      <w:sz w:val="18"/>
      <w:szCs w:val="18"/>
      <w:lang w:eastAsia="uk-UA"/>
    </w:rPr>
  </w:style>
  <w:style w:type="character" w:customStyle="1" w:styleId="29">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2024-02-21T14:54:02Z</dcterms:created>
  <dcterms:modified xsi:type="dcterms:W3CDTF">2024-02-21T06:54:02Z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2024-02-21T14:53:55Z</dcterms:created>
  <dcterms:modified xsi:type="dcterms:W3CDTF">2024-02-21T06:53:54Z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2024-02-21T14:54:04Z</dcterms:created>
  <dcterms:modified xsi:type="dcterms:W3CDTF">2024-02-21T06:54:04Z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2024-02-21T14:54:04Z</dcterms:created>
  <dcterms:modified xsi:type="dcterms:W3CDTF">2024-02-21T06:54:04Z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2024-02-21T14:54:03Z</dcterms:created>
  <dcterms:modified xsi:type="dcterms:W3CDTF">2024-02-21T06:54:03Z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2024-02-21T14:54:02Z</dcterms:created>
  <dcterms:modified xsi:type="dcterms:W3CDTF">2024-02-21T06:54:02Z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2024-02-21T14:54:00Z</dcterms:created>
  <dcterms:modified xsi:type="dcterms:W3CDTF">2024-02-21T06:54:00Z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2024-02-21T14:54:04Z</dcterms:created>
  <dcterms:modified xsi:type="dcterms:W3CDTF">2024-02-21T06:54:04Z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2024-02-21T14:54:02Z</dcterms:created>
  <dcterms:modified xsi:type="dcterms:W3CDTF">2024-02-21T06:54:02Z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2024-02-21T14:54:01Z</dcterms:created>
  <dcterms:modified xsi:type="dcterms:W3CDTF">2024-02-21T06:54:01Z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2024-02-21T14:54:03Z</dcterms:created>
  <dcterms:modified xsi:type="dcterms:W3CDTF">2024-02-21T06:54:03Z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2024-02-21T14:54:01Z</dcterms:created>
  <dcterms:modified xsi:type="dcterms:W3CDTF">2024-02-21T06:54:01Z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2024-02-21T14:54:05Z</dcterms:created>
  <dcterms:modified xsi:type="dcterms:W3CDTF">2024-02-21T06:54:05Z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2024-02-21T14:54:03Z</dcterms:created>
  <dcterms:modified xsi:type="dcterms:W3CDTF">2024-02-21T06:54:03Z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2024-02-21T14:54:02Z</dcterms:created>
  <dcterms:modified xsi:type="dcterms:W3CDTF">2024-02-21T06:54:02Z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2024-02-21T14:54:00Z</dcterms:created>
  <dcterms:modified xsi:type="dcterms:W3CDTF">2024-02-21T06:54:00Z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2024-02-21T14:54:01Z</dcterms:created>
  <dcterms:modified xsi:type="dcterms:W3CDTF">2024-02-21T06:54:01Z</dcterms:modified>
</cp:coreProperties>
</file>

<file path=customXml/itemProps1.xml><?xml version="1.0" encoding="utf-8"?>
<ds:datastoreItem xmlns:ds="http://schemas.openxmlformats.org/officeDocument/2006/customXml" ds:itemID="{6B4405B5-32F4-4EC8-A555-4CA047DEC16E}">
  <ds:schemaRefs/>
</ds:datastoreItem>
</file>

<file path=customXml/itemProps10.xml><?xml version="1.0" encoding="utf-8"?>
<ds:datastoreItem xmlns:ds="http://schemas.openxmlformats.org/officeDocument/2006/customXml" ds:itemID="{714D56BE-4A05-411C-8646-BD0A97D89ECE}">
  <ds:schemaRefs/>
</ds:datastoreItem>
</file>

<file path=customXml/itemProps11.xml><?xml version="1.0" encoding="utf-8"?>
<ds:datastoreItem xmlns:ds="http://schemas.openxmlformats.org/officeDocument/2006/customXml" ds:itemID="{3BC58565-4DA5-4340-A8EA-3B3607CD4AE7}">
  <ds:schemaRefs/>
</ds:datastoreItem>
</file>

<file path=customXml/itemProps12.xml><?xml version="1.0" encoding="utf-8"?>
<ds:datastoreItem xmlns:ds="http://schemas.openxmlformats.org/officeDocument/2006/customXml" ds:itemID="{DC98F7FC-1115-441E-A581-8271C6572630}">
  <ds:schemaRefs/>
</ds:datastoreItem>
</file>

<file path=customXml/itemProps13.xml><?xml version="1.0" encoding="utf-8"?>
<ds:datastoreItem xmlns:ds="http://schemas.openxmlformats.org/officeDocument/2006/customXml" ds:itemID="{2C86FA37-FBB0-4877-A963-06E443D89E89}">
  <ds:schemaRefs/>
</ds:datastoreItem>
</file>

<file path=customXml/itemProps14.xml><?xml version="1.0" encoding="utf-8"?>
<ds:datastoreItem xmlns:ds="http://schemas.openxmlformats.org/officeDocument/2006/customXml" ds:itemID="{6C90A0F0-BDCA-4F73-8FED-9E68135DB381}">
  <ds:schemaRefs/>
</ds:datastoreItem>
</file>

<file path=customXml/itemProps15.xml><?xml version="1.0" encoding="utf-8"?>
<ds:datastoreItem xmlns:ds="http://schemas.openxmlformats.org/officeDocument/2006/customXml" ds:itemID="{FCB5CE23-B024-41CA-B4D8-FB16E22FB79D}">
  <ds:schemaRefs/>
</ds:datastoreItem>
</file>

<file path=customXml/itemProps16.xml><?xml version="1.0" encoding="utf-8"?>
<ds:datastoreItem xmlns:ds="http://schemas.openxmlformats.org/officeDocument/2006/customXml" ds:itemID="{484B964F-79FB-4020-BF91-73E991DC9EE8}">
  <ds:schemaRefs/>
</ds:datastoreItem>
</file>

<file path=customXml/itemProps17.xml><?xml version="1.0" encoding="utf-8"?>
<ds:datastoreItem xmlns:ds="http://schemas.openxmlformats.org/officeDocument/2006/customXml" ds:itemID="{6999B05D-7DCC-4FF0-9918-69066A4B9725}">
  <ds:schemaRefs/>
</ds:datastoreItem>
</file>

<file path=customXml/itemProps18.xml><?xml version="1.0" encoding="utf-8"?>
<ds:datastoreItem xmlns:ds="http://schemas.openxmlformats.org/officeDocument/2006/customXml" ds:itemID="{5672D106-F8C3-476A-AED6-EB416BDD2866}">
  <ds:schemaRefs/>
</ds:datastoreItem>
</file>

<file path=customXml/itemProps19.xml><?xml version="1.0" encoding="utf-8"?>
<ds:datastoreItem xmlns:ds="http://schemas.openxmlformats.org/officeDocument/2006/customXml" ds:itemID="{DEA3944D-7C27-4513-AAD6-FEE6499AD61F}">
  <ds:schemaRefs/>
</ds:datastoreItem>
</file>

<file path=customXml/itemProps2.xml><?xml version="1.0" encoding="utf-8"?>
<ds:datastoreItem xmlns:ds="http://schemas.openxmlformats.org/officeDocument/2006/customXml" ds:itemID="{A6033A2E-DAFD-4335-BC39-08088C1140BC}">
  <ds:schemaRefs/>
</ds:datastoreItem>
</file>

<file path=customXml/itemProps20.xml><?xml version="1.0" encoding="utf-8"?>
<ds:datastoreItem xmlns:ds="http://schemas.openxmlformats.org/officeDocument/2006/customXml" ds:itemID="{B3AD3037-0D24-4021-886C-33DBE9C87ABD}">
  <ds:schemaRefs/>
</ds:datastoreItem>
</file>

<file path=customXml/itemProps21.xml><?xml version="1.0" encoding="utf-8"?>
<ds:datastoreItem xmlns:ds="http://schemas.openxmlformats.org/officeDocument/2006/customXml" ds:itemID="{0EC4EE53-56D9-462C-AA6B-1AA6609C807D}">
  <ds:schemaRefs/>
</ds:datastoreItem>
</file>

<file path=customXml/itemProps22.xml><?xml version="1.0" encoding="utf-8"?>
<ds:datastoreItem xmlns:ds="http://schemas.openxmlformats.org/officeDocument/2006/customXml" ds:itemID="{FF009886-7860-4476-BAE0-549742660941}">
  <ds:schemaRefs/>
</ds:datastoreItem>
</file>

<file path=customXml/itemProps23.xml><?xml version="1.0" encoding="utf-8"?>
<ds:datastoreItem xmlns:ds="http://schemas.openxmlformats.org/officeDocument/2006/customXml" ds:itemID="{EDAFE6D2-6EE7-47BB-9F0A-DB95547B5404}">
  <ds:schemaRefs/>
</ds:datastoreItem>
</file>

<file path=customXml/itemProps24.xml><?xml version="1.0" encoding="utf-8"?>
<ds:datastoreItem xmlns:ds="http://schemas.openxmlformats.org/officeDocument/2006/customXml" ds:itemID="{F357F9D2-8E59-4352-A47D-2FDBCA181771}">
  <ds:schemaRefs/>
</ds:datastoreItem>
</file>

<file path=customXml/itemProps25.xml><?xml version="1.0" encoding="utf-8"?>
<ds:datastoreItem xmlns:ds="http://schemas.openxmlformats.org/officeDocument/2006/customXml" ds:itemID="{FE5565E1-C68B-47AB-8092-B22350B73A37}">
  <ds:schemaRefs/>
</ds:datastoreItem>
</file>

<file path=customXml/itemProps26.xml><?xml version="1.0" encoding="utf-8"?>
<ds:datastoreItem xmlns:ds="http://schemas.openxmlformats.org/officeDocument/2006/customXml" ds:itemID="{C54CC475-A604-44D0-8363-BC8A1ACE9D7E}">
  <ds:schemaRefs/>
</ds:datastoreItem>
</file>

<file path=customXml/itemProps27.xml><?xml version="1.0" encoding="utf-8"?>
<ds:datastoreItem xmlns:ds="http://schemas.openxmlformats.org/officeDocument/2006/customXml" ds:itemID="{C0FD618F-084A-40D1-AB16-443168BDEB18}">
  <ds:schemaRefs/>
</ds:datastoreItem>
</file>

<file path=customXml/itemProps28.xml><?xml version="1.0" encoding="utf-8"?>
<ds:datastoreItem xmlns:ds="http://schemas.openxmlformats.org/officeDocument/2006/customXml" ds:itemID="{6A6D39FD-875F-443F-B21A-095FF52BAFCB}">
  <ds:schemaRefs/>
</ds:datastoreItem>
</file>

<file path=customXml/itemProps29.xml><?xml version="1.0" encoding="utf-8"?>
<ds:datastoreItem xmlns:ds="http://schemas.openxmlformats.org/officeDocument/2006/customXml" ds:itemID="{A67F0AE5-43D6-4A10-AC17-EC703A4156B0}">
  <ds:schemaRefs/>
</ds:datastoreItem>
</file>

<file path=customXml/itemProps3.xml><?xml version="1.0" encoding="utf-8"?>
<ds:datastoreItem xmlns:ds="http://schemas.openxmlformats.org/officeDocument/2006/customXml" ds:itemID="{43256087-6353-4B77-92EF-BD82E16458F3}">
  <ds:schemaRefs/>
</ds:datastoreItem>
</file>

<file path=customXml/itemProps30.xml><?xml version="1.0" encoding="utf-8"?>
<ds:datastoreItem xmlns:ds="http://schemas.openxmlformats.org/officeDocument/2006/customXml" ds:itemID="{573679CC-F337-43B4-8963-3DC1FA6CC30D}">
  <ds:schemaRefs/>
</ds:datastoreItem>
</file>

<file path=customXml/itemProps31.xml><?xml version="1.0" encoding="utf-8"?>
<ds:datastoreItem xmlns:ds="http://schemas.openxmlformats.org/officeDocument/2006/customXml" ds:itemID="{23F074FB-B614-4B36-B76E-23636FD66302}">
  <ds:schemaRefs/>
</ds:datastoreItem>
</file>

<file path=customXml/itemProps32.xml><?xml version="1.0" encoding="utf-8"?>
<ds:datastoreItem xmlns:ds="http://schemas.openxmlformats.org/officeDocument/2006/customXml" ds:itemID="{F8FD6579-CBD7-416E-9A5F-5B440B0B4832}">
  <ds:schemaRefs/>
</ds:datastoreItem>
</file>

<file path=customXml/itemProps33.xml><?xml version="1.0" encoding="utf-8"?>
<ds:datastoreItem xmlns:ds="http://schemas.openxmlformats.org/officeDocument/2006/customXml" ds:itemID="{FDE1C5FE-5638-45B1-BF5E-080D53A6183D}">
  <ds:schemaRefs/>
</ds:datastoreItem>
</file>

<file path=customXml/itemProps34.xml><?xml version="1.0" encoding="utf-8"?>
<ds:datastoreItem xmlns:ds="http://schemas.openxmlformats.org/officeDocument/2006/customXml" ds:itemID="{1AB6D602-C930-481F-9578-B95267F0AB1A}">
  <ds:schemaRefs/>
</ds:datastoreItem>
</file>

<file path=customXml/itemProps4.xml><?xml version="1.0" encoding="utf-8"?>
<ds:datastoreItem xmlns:ds="http://schemas.openxmlformats.org/officeDocument/2006/customXml" ds:itemID="{1A3C9602-8026-460F-89FE-0A5D6460DFC2}">
  <ds:schemaRefs/>
</ds:datastoreItem>
</file>

<file path=customXml/itemProps5.xml><?xml version="1.0" encoding="utf-8"?>
<ds:datastoreItem xmlns:ds="http://schemas.openxmlformats.org/officeDocument/2006/customXml" ds:itemID="{4F6EEA12-045F-4A7B-B52B-14DE47762E31}">
  <ds:schemaRefs/>
</ds:datastoreItem>
</file>

<file path=customXml/itemProps6.xml><?xml version="1.0" encoding="utf-8"?>
<ds:datastoreItem xmlns:ds="http://schemas.openxmlformats.org/officeDocument/2006/customXml" ds:itemID="{F0BBA4EB-A44D-4100-A8D8-EC38AA4F36AB}">
  <ds:schemaRefs/>
</ds:datastoreItem>
</file>

<file path=customXml/itemProps7.xml><?xml version="1.0" encoding="utf-8"?>
<ds:datastoreItem xmlns:ds="http://schemas.openxmlformats.org/officeDocument/2006/customXml" ds:itemID="{EFCF3508-FBB3-4A0F-BA45-94A55A75825A}">
  <ds:schemaRefs/>
</ds:datastoreItem>
</file>

<file path=customXml/itemProps8.xml><?xml version="1.0" encoding="utf-8"?>
<ds:datastoreItem xmlns:ds="http://schemas.openxmlformats.org/officeDocument/2006/customXml" ds:itemID="{9AFEECDB-2631-4956-8F7F-88B77441D074}">
  <ds:schemaRefs/>
</ds:datastoreItem>
</file>

<file path=customXml/itemProps9.xml><?xml version="1.0" encoding="utf-8"?>
<ds:datastoreItem xmlns:ds="http://schemas.openxmlformats.org/officeDocument/2006/customXml" ds:itemID="{6D5A34B1-1570-4F2E-B915-999CC173AEE0}">
  <ds:schemaRefs/>
</ds:datastoreItem>
</file>

<file path=docProps/app.xml><?xml version="1.0" encoding="utf-8"?>
<Properties xmlns="http://schemas.openxmlformats.org/officeDocument/2006/extended-properties" xmlns:vt="http://schemas.openxmlformats.org/officeDocument/2006/docPropsVTypes">
  <Template>Normal</Template>
  <Pages>37</Pages>
  <Words>2935</Words>
  <Characters>16732</Characters>
  <Lines>139</Lines>
  <Paragraphs>39</Paragraphs>
  <TotalTime>2</TotalTime>
  <ScaleCrop>false</ScaleCrop>
  <LinksUpToDate>false</LinksUpToDate>
  <CharactersWithSpaces>19628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2024-02-21T07:02:00Z</dcterms:created>
  <dc:creator>Administrator</dc:creator>
  <cp:lastModifiedBy>Administrator</cp:lastModifiedBy>
  <cp:lastPrinted>2024-02-22T03:51:06Z</cp:lastPrinted>
  <dcterms:modified xsi:type="dcterms:W3CDTF">2024-02-22T03:52:15Z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FDF7CF5477254931A4C09EE8FCF2A9EB_12</vt:lpwstr>
  </property>
</Properties>
</file>